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052AE0" w14:textId="25D0EED7" w:rsidR="00C439A3" w:rsidRDefault="00C439A3" w:rsidP="00A574EC">
      <w:pPr>
        <w:jc w:val="center"/>
      </w:pPr>
      <w:bookmarkStart w:id="0" w:name="_GoBack"/>
      <w:bookmarkEnd w:id="0"/>
    </w:p>
    <w:p w14:paraId="2B89DB19" w14:textId="77777777" w:rsidR="00A574EC" w:rsidRDefault="00A574EC">
      <w:pPr>
        <w:jc w:val="right"/>
      </w:pPr>
    </w:p>
    <w:p w14:paraId="4BB4B735" w14:textId="6EE54C4F" w:rsidR="00B91CA7" w:rsidRDefault="00B91CA7" w:rsidP="00B91CA7">
      <w:pPr>
        <w:pStyle w:val="CoverText"/>
        <w:jc w:val="center"/>
        <w:rPr>
          <w:bCs/>
        </w:rPr>
      </w:pPr>
      <w:r w:rsidRPr="005378BF">
        <w:rPr>
          <w:noProof/>
          <w:u w:val="none"/>
        </w:rPr>
        <w:drawing>
          <wp:inline distT="0" distB="0" distL="0" distR="0" wp14:anchorId="6DAD6DA7" wp14:editId="3154A2B8">
            <wp:extent cx="969010" cy="960120"/>
            <wp:effectExtent l="0" t="0" r="2540" b="0"/>
            <wp:docPr id="1743221675" name="Picture 1" descr="A black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1743221675" name="Picture 1"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9010" cy="960120"/>
                    </a:xfrm>
                    <a:prstGeom prst="rect">
                      <a:avLst/>
                    </a:prstGeom>
                  </pic:spPr>
                </pic:pic>
              </a:graphicData>
            </a:graphic>
          </wp:inline>
        </w:drawing>
      </w:r>
    </w:p>
    <w:p w14:paraId="764AA259" w14:textId="63D3B431" w:rsidR="00C439A3" w:rsidRDefault="00C439A3">
      <w:pPr>
        <w:pStyle w:val="CoverText"/>
        <w:jc w:val="left"/>
        <w:rPr>
          <w:bCs/>
          <w:sz w:val="20"/>
          <w:u w:val="none"/>
        </w:rPr>
      </w:pPr>
      <w:r>
        <w:rPr>
          <w:bCs/>
        </w:rPr>
        <w:t xml:space="preserve">Neutral Citation Number: </w:t>
      </w:r>
      <w:r w:rsidR="00A574EC">
        <w:rPr>
          <w:bCs/>
        </w:rPr>
        <w:t>[2026] EWCA Civ 20</w:t>
      </w:r>
      <w:r>
        <w:rPr>
          <w:bCs/>
        </w:rPr>
        <w:br/>
      </w:r>
    </w:p>
    <w:p w14:paraId="28431B68" w14:textId="5718F4B0" w:rsidR="00C439A3" w:rsidRDefault="00C439A3">
      <w:pPr>
        <w:pStyle w:val="CoverText"/>
        <w:rPr>
          <w:b/>
          <w:spacing w:val="-3"/>
        </w:rPr>
      </w:pPr>
      <w:r>
        <w:t xml:space="preserve">Case No: </w:t>
      </w:r>
      <w:r w:rsidR="009644F2">
        <w:t>CA-202</w:t>
      </w:r>
      <w:r w:rsidR="00D15C6B">
        <w:t>4</w:t>
      </w:r>
      <w:r w:rsidR="009644F2">
        <w:t>-00</w:t>
      </w:r>
      <w:r w:rsidR="00BC1FC7">
        <w:t>1676</w:t>
      </w:r>
    </w:p>
    <w:p w14:paraId="317F2DFD" w14:textId="6817A4E2"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COURT OF APPEAL (</w:t>
      </w:r>
      <w:r w:rsidR="008E1A1A">
        <w:t>CIVIL</w:t>
      </w:r>
      <w:r>
        <w:t xml:space="preserve"> DIVISION)</w:t>
      </w:r>
    </w:p>
    <w:p w14:paraId="4AC7EB6E" w14:textId="77777777" w:rsidR="0014198A"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 xml:space="preserve">ON APPEAL FROM </w:t>
      </w:r>
      <w:r w:rsidR="002E6480">
        <w:t xml:space="preserve">THE </w:t>
      </w:r>
      <w:r w:rsidR="00541301">
        <w:t xml:space="preserve">UPPER TRIBUNAL </w:t>
      </w:r>
    </w:p>
    <w:p w14:paraId="77140824" w14:textId="0A466CC8" w:rsidR="00C439A3" w:rsidRDefault="00541301">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w:t>
      </w:r>
      <w:r w:rsidR="002E6480">
        <w:t>ADMINISTRATIVE APPEALS CHAMBER</w:t>
      </w:r>
      <w:r>
        <w:t>)</w:t>
      </w:r>
    </w:p>
    <w:p w14:paraId="0B8373CC" w14:textId="0769F534" w:rsidR="000B037C" w:rsidRDefault="000B037C">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UPPER TRIBUNAL JUDGE MARK WEST</w:t>
      </w:r>
    </w:p>
    <w:p w14:paraId="07508377" w14:textId="40326348" w:rsidR="00C439A3" w:rsidRDefault="00C439A3">
      <w:pPr>
        <w:pStyle w:val="CoverText"/>
      </w:pPr>
      <w:r>
        <w:t>Royal Courts of Justice</w:t>
      </w:r>
    </w:p>
    <w:p w14:paraId="36D01704" w14:textId="77777777" w:rsidR="00C439A3" w:rsidRDefault="00C439A3">
      <w:pPr>
        <w:pStyle w:val="CoverText"/>
      </w:pPr>
      <w:r>
        <w:t>Strand, London, WC2A 2LL</w:t>
      </w:r>
    </w:p>
    <w:p w14:paraId="680FC36D" w14:textId="77777777" w:rsidR="00C439A3" w:rsidRDefault="00C439A3">
      <w:pPr>
        <w:suppressAutoHyphens/>
        <w:jc w:val="right"/>
        <w:rPr>
          <w:spacing w:val="-3"/>
          <w:u w:val="single"/>
        </w:rPr>
      </w:pPr>
    </w:p>
    <w:p w14:paraId="3FC917AC" w14:textId="3CC2AE8C" w:rsidR="00C439A3" w:rsidRDefault="00C439A3">
      <w:pPr>
        <w:pStyle w:val="CoverText"/>
        <w:rPr>
          <w:b/>
        </w:rPr>
      </w:pPr>
      <w:r>
        <w:t>Date:</w:t>
      </w:r>
      <w:r w:rsidR="006E58F5">
        <w:t xml:space="preserve"> 23/01/2026</w:t>
      </w:r>
      <w:r>
        <w:t xml:space="preserve"> </w:t>
      </w:r>
    </w:p>
    <w:p w14:paraId="209DEA9E" w14:textId="78FE9831" w:rsidR="00C439A3" w:rsidRDefault="00C439A3">
      <w:pPr>
        <w:suppressAutoHyphens/>
        <w:jc w:val="center"/>
        <w:rPr>
          <w:b/>
          <w:spacing w:val="-3"/>
        </w:rPr>
      </w:pPr>
      <w:r>
        <w:rPr>
          <w:b/>
          <w:spacing w:val="-3"/>
        </w:rPr>
        <w:t>Before:</w:t>
      </w:r>
    </w:p>
    <w:p w14:paraId="653E6DA9" w14:textId="77777777" w:rsidR="00C439A3" w:rsidRDefault="00C439A3">
      <w:pPr>
        <w:suppressAutoHyphens/>
        <w:jc w:val="center"/>
        <w:rPr>
          <w:spacing w:val="-3"/>
        </w:rPr>
      </w:pPr>
    </w:p>
    <w:p w14:paraId="2701EA6D" w14:textId="2F58AAA6" w:rsidR="00C439A3" w:rsidRDefault="009644F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LORD JUSTICE BEAN</w:t>
      </w:r>
    </w:p>
    <w:p w14:paraId="0F8B1F02" w14:textId="7DCFA8BB" w:rsidR="00C439A3" w:rsidRDefault="00146986">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fldChar w:fldCharType="begin">
          <w:ffData>
            <w:name w:val="bkJudge2AddProp"/>
            <w:enabled/>
            <w:calcOnExit w:val="0"/>
            <w:textInput>
              <w:default w:val="LADY JUSTICE KING"/>
              <w:format w:val="UPPERCASE"/>
            </w:textInput>
          </w:ffData>
        </w:fldChar>
      </w:r>
      <w:bookmarkStart w:id="1" w:name="bkJudge2AddProp"/>
      <w:r>
        <w:instrText xml:space="preserve"> FORMTEXT </w:instrText>
      </w:r>
      <w:r>
        <w:fldChar w:fldCharType="separate"/>
      </w:r>
      <w:r>
        <w:rPr>
          <w:noProof/>
        </w:rPr>
        <w:t>LADY JUSTICE KING</w:t>
      </w:r>
      <w:r>
        <w:fldChar w:fldCharType="end"/>
      </w:r>
      <w:bookmarkEnd w:id="1"/>
      <w:r w:rsidR="00C439A3">
        <w:br/>
      </w:r>
      <w:r w:rsidR="00C439A3">
        <w:rPr>
          <w:b w:val="0"/>
          <w:bCs/>
          <w:u w:val="none"/>
        </w:rPr>
        <w:t>and</w:t>
      </w:r>
    </w:p>
    <w:p w14:paraId="6731472C" w14:textId="0D324814" w:rsidR="00C439A3" w:rsidRDefault="007B55DA">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 xml:space="preserve">LORD JUSTICE </w:t>
      </w:r>
      <w:r w:rsidR="00146986">
        <w:t>STUART-SMITH</w:t>
      </w:r>
    </w:p>
    <w:p w14:paraId="68844CB5" w14:textId="77777777" w:rsidR="00C439A3" w:rsidRDefault="00C439A3">
      <w:pPr>
        <w:suppressAutoHyphens/>
        <w:jc w:val="center"/>
        <w:rPr>
          <w:spacing w:val="-3"/>
        </w:rPr>
      </w:pPr>
      <w:r>
        <w:rPr>
          <w:spacing w:val="-3"/>
        </w:rPr>
        <w:t>- - - - - - - - - - - - - - - - - - - - -</w:t>
      </w:r>
    </w:p>
    <w:p w14:paraId="367FA0E8" w14:textId="77777777" w:rsidR="00C439A3" w:rsidRDefault="00C439A3">
      <w:pPr>
        <w:suppressAutoHyphens/>
        <w:jc w:val="center"/>
        <w:rPr>
          <w:b/>
          <w:spacing w:val="-3"/>
        </w:rPr>
      </w:pPr>
      <w:r>
        <w:rPr>
          <w:b/>
          <w:spacing w:val="-3"/>
        </w:rPr>
        <w:t>Between :</w:t>
      </w:r>
    </w:p>
    <w:p w14:paraId="594CC65C" w14:textId="77777777" w:rsidR="00C439A3" w:rsidRDefault="00C439A3">
      <w:pPr>
        <w:suppressAutoHyphens/>
        <w:rPr>
          <w:b/>
          <w:spacing w:val="-3"/>
        </w:rPr>
      </w:pPr>
    </w:p>
    <w:tbl>
      <w:tblPr>
        <w:tblW w:w="0" w:type="auto"/>
        <w:tblInd w:w="144" w:type="dxa"/>
        <w:tblLayout w:type="fixed"/>
        <w:tblLook w:val="0000" w:firstRow="0" w:lastRow="0" w:firstColumn="0" w:lastColumn="0" w:noHBand="0" w:noVBand="0"/>
      </w:tblPr>
      <w:tblGrid>
        <w:gridCol w:w="1314"/>
        <w:gridCol w:w="6210"/>
        <w:gridCol w:w="1440"/>
      </w:tblGrid>
      <w:tr w:rsidR="00C439A3" w14:paraId="7CF9698A" w14:textId="77777777">
        <w:tc>
          <w:tcPr>
            <w:tcW w:w="1314" w:type="dxa"/>
          </w:tcPr>
          <w:p w14:paraId="7162AEB4" w14:textId="77777777" w:rsidR="00C439A3" w:rsidRDefault="00C439A3">
            <w:pPr>
              <w:suppressAutoHyphens/>
              <w:rPr>
                <w:b/>
                <w:spacing w:val="-3"/>
              </w:rPr>
            </w:pPr>
          </w:p>
        </w:tc>
        <w:tc>
          <w:tcPr>
            <w:tcW w:w="6210" w:type="dxa"/>
          </w:tcPr>
          <w:p w14:paraId="71D5362F" w14:textId="31978218" w:rsidR="00C439A3" w:rsidRDefault="00252B52">
            <w:pPr>
              <w:suppressAutoHyphens/>
              <w:jc w:val="center"/>
              <w:rPr>
                <w:b/>
                <w:spacing w:val="-3"/>
              </w:rPr>
            </w:pPr>
            <w:r>
              <w:rPr>
                <w:b/>
                <w:spacing w:val="-3"/>
              </w:rPr>
              <w:t>HAMPSHIRE COUNTY COUNCIL</w:t>
            </w:r>
          </w:p>
        </w:tc>
        <w:tc>
          <w:tcPr>
            <w:tcW w:w="1440" w:type="dxa"/>
          </w:tcPr>
          <w:p w14:paraId="1B8CA096" w14:textId="77777777"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Appellant</w:t>
            </w:r>
          </w:p>
        </w:tc>
      </w:tr>
      <w:tr w:rsidR="00C439A3" w14:paraId="54FE29BD" w14:textId="77777777">
        <w:tc>
          <w:tcPr>
            <w:tcW w:w="1314" w:type="dxa"/>
          </w:tcPr>
          <w:p w14:paraId="0752C52D" w14:textId="77777777" w:rsidR="00C439A3" w:rsidRDefault="00C439A3">
            <w:pPr>
              <w:suppressAutoHyphens/>
              <w:rPr>
                <w:b/>
                <w:spacing w:val="-3"/>
              </w:rPr>
            </w:pPr>
          </w:p>
        </w:tc>
        <w:tc>
          <w:tcPr>
            <w:tcW w:w="6210" w:type="dxa"/>
          </w:tcPr>
          <w:p w14:paraId="0D631483" w14:textId="77777777" w:rsidR="00C439A3" w:rsidRDefault="00C439A3">
            <w:pPr>
              <w:tabs>
                <w:tab w:val="center" w:pos="3312"/>
              </w:tabs>
              <w:suppressAutoHyphens/>
              <w:jc w:val="center"/>
              <w:rPr>
                <w:b/>
                <w:spacing w:val="-3"/>
              </w:rPr>
            </w:pPr>
            <w:r>
              <w:rPr>
                <w:b/>
                <w:spacing w:val="-3"/>
              </w:rPr>
              <w:t>- and -</w:t>
            </w:r>
          </w:p>
        </w:tc>
        <w:tc>
          <w:tcPr>
            <w:tcW w:w="1440" w:type="dxa"/>
          </w:tcPr>
          <w:p w14:paraId="2D168BCE" w14:textId="77777777" w:rsidR="00C439A3" w:rsidRDefault="00C439A3">
            <w:pPr>
              <w:suppressAutoHyphens/>
              <w:jc w:val="right"/>
              <w:rPr>
                <w:b/>
                <w:spacing w:val="-3"/>
              </w:rPr>
            </w:pPr>
          </w:p>
        </w:tc>
      </w:tr>
      <w:tr w:rsidR="00C439A3" w14:paraId="7F89E34D" w14:textId="77777777">
        <w:tc>
          <w:tcPr>
            <w:tcW w:w="1314" w:type="dxa"/>
          </w:tcPr>
          <w:p w14:paraId="35941193" w14:textId="77777777" w:rsidR="00C439A3" w:rsidRDefault="00C439A3">
            <w:pPr>
              <w:suppressAutoHyphens/>
              <w:rPr>
                <w:b/>
                <w:spacing w:val="-3"/>
              </w:rPr>
            </w:pPr>
          </w:p>
        </w:tc>
        <w:tc>
          <w:tcPr>
            <w:tcW w:w="6210" w:type="dxa"/>
          </w:tcPr>
          <w:p w14:paraId="0C730D0C" w14:textId="607CDB3F" w:rsidR="00C439A3" w:rsidRDefault="00252B52">
            <w:pPr>
              <w:tabs>
                <w:tab w:val="center" w:pos="3312"/>
              </w:tabs>
              <w:suppressAutoHyphens/>
              <w:jc w:val="center"/>
              <w:rPr>
                <w:b/>
                <w:spacing w:val="-3"/>
              </w:rPr>
            </w:pPr>
            <w:r>
              <w:rPr>
                <w:b/>
                <w:spacing w:val="-3"/>
              </w:rPr>
              <w:t>GC</w:t>
            </w:r>
            <w:r w:rsidR="000B037C">
              <w:rPr>
                <w:b/>
                <w:spacing w:val="-3"/>
              </w:rPr>
              <w:t xml:space="preserve"> </w:t>
            </w:r>
            <w:r>
              <w:rPr>
                <w:b/>
                <w:spacing w:val="-3"/>
              </w:rPr>
              <w:t>AND ANOTHER</w:t>
            </w:r>
          </w:p>
        </w:tc>
        <w:tc>
          <w:tcPr>
            <w:tcW w:w="1440" w:type="dxa"/>
          </w:tcPr>
          <w:p w14:paraId="34C83444" w14:textId="77777777"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Respondent</w:t>
            </w:r>
          </w:p>
        </w:tc>
      </w:tr>
    </w:tbl>
    <w:p w14:paraId="67E1EF91" w14:textId="77777777" w:rsidR="00C439A3" w:rsidRDefault="00C439A3">
      <w:pPr>
        <w:suppressAutoHyphens/>
        <w:rPr>
          <w:b/>
          <w:spacing w:val="-3"/>
        </w:rPr>
      </w:pPr>
    </w:p>
    <w:p w14:paraId="61B06B69" w14:textId="77777777" w:rsidR="00C439A3" w:rsidRDefault="00C439A3">
      <w:pPr>
        <w:suppressAutoHyphens/>
        <w:jc w:val="center"/>
        <w:rPr>
          <w:spacing w:val="-3"/>
        </w:rPr>
      </w:pPr>
      <w:r>
        <w:rPr>
          <w:spacing w:val="-3"/>
        </w:rPr>
        <w:t>- - - - - - - - - - - - - - - - - - - - -</w:t>
      </w:r>
    </w:p>
    <w:p w14:paraId="48157DE6" w14:textId="77777777" w:rsidR="00C439A3" w:rsidRDefault="00C439A3">
      <w:pPr>
        <w:suppressAutoHyphens/>
        <w:jc w:val="center"/>
        <w:rPr>
          <w:spacing w:val="-3"/>
        </w:rPr>
      </w:pPr>
      <w:r>
        <w:rPr>
          <w:spacing w:val="-3"/>
        </w:rPr>
        <w:t>- - - - - - - - - - - - - - - - - - - - -</w:t>
      </w:r>
    </w:p>
    <w:p w14:paraId="7B8BC9D3" w14:textId="77777777" w:rsidR="00C439A3" w:rsidRDefault="00C439A3">
      <w:pPr>
        <w:suppressAutoHyphens/>
        <w:jc w:val="center"/>
        <w:rPr>
          <w:spacing w:val="-3"/>
        </w:rPr>
      </w:pPr>
    </w:p>
    <w:p w14:paraId="3CCAABB9" w14:textId="4281FABC" w:rsidR="00C439A3" w:rsidRPr="00E529C1" w:rsidRDefault="000B037C">
      <w:pPr>
        <w:suppressAutoHyphens/>
        <w:jc w:val="center"/>
        <w:rPr>
          <w:bCs/>
          <w:spacing w:val="-3"/>
        </w:rPr>
      </w:pPr>
      <w:r>
        <w:rPr>
          <w:b/>
          <w:spacing w:val="-3"/>
        </w:rPr>
        <w:t xml:space="preserve">Alexander Line </w:t>
      </w:r>
      <w:r w:rsidRPr="004D6AB2">
        <w:rPr>
          <w:bCs/>
          <w:spacing w:val="-3"/>
        </w:rPr>
        <w:t>and</w:t>
      </w:r>
      <w:r>
        <w:rPr>
          <w:b/>
          <w:spacing w:val="-3"/>
        </w:rPr>
        <w:t xml:space="preserve"> Monique Bouff</w:t>
      </w:r>
      <w:r w:rsidR="005E0482" w:rsidRPr="004A724D">
        <w:rPr>
          <w:b/>
        </w:rPr>
        <w:t>é</w:t>
      </w:r>
      <w:r w:rsidR="00C439A3">
        <w:rPr>
          <w:bCs/>
          <w:spacing w:val="-3"/>
        </w:rPr>
        <w:t xml:space="preserve"> </w:t>
      </w:r>
      <w:r w:rsidR="00AA702A">
        <w:rPr>
          <w:bCs/>
          <w:spacing w:val="-3"/>
        </w:rPr>
        <w:t>(instructed by</w:t>
      </w:r>
      <w:r>
        <w:rPr>
          <w:bCs/>
          <w:spacing w:val="-3"/>
        </w:rPr>
        <w:t xml:space="preserve"> </w:t>
      </w:r>
      <w:r w:rsidR="00455AF1" w:rsidRPr="00455AF1">
        <w:rPr>
          <w:b/>
          <w:bCs/>
        </w:rPr>
        <w:t>Hampshire County Council</w:t>
      </w:r>
      <w:r w:rsidR="00AA702A">
        <w:rPr>
          <w:bCs/>
          <w:spacing w:val="-3"/>
        </w:rPr>
        <w:t>) for t</w:t>
      </w:r>
      <w:r w:rsidR="00E529C1">
        <w:rPr>
          <w:bCs/>
          <w:spacing w:val="-3"/>
        </w:rPr>
        <w:t xml:space="preserve">he </w:t>
      </w:r>
      <w:r w:rsidR="006B6821">
        <w:rPr>
          <w:b/>
          <w:spacing w:val="-3"/>
        </w:rPr>
        <w:t>Ap</w:t>
      </w:r>
      <w:r w:rsidR="00AA702A">
        <w:rPr>
          <w:b/>
          <w:spacing w:val="-3"/>
        </w:rPr>
        <w:t>pellant</w:t>
      </w:r>
    </w:p>
    <w:p w14:paraId="462AACA7" w14:textId="61C4127B" w:rsidR="00C439A3" w:rsidRDefault="000B037C">
      <w:pPr>
        <w:suppressAutoHyphens/>
        <w:jc w:val="center"/>
        <w:rPr>
          <w:bCs/>
          <w:spacing w:val="-3"/>
        </w:rPr>
      </w:pPr>
      <w:r>
        <w:rPr>
          <w:b/>
          <w:spacing w:val="-3"/>
        </w:rPr>
        <w:t xml:space="preserve">Tom Gillie </w:t>
      </w:r>
      <w:r w:rsidRPr="004D6AB2">
        <w:rPr>
          <w:bCs/>
          <w:spacing w:val="-3"/>
        </w:rPr>
        <w:t>and</w:t>
      </w:r>
      <w:r>
        <w:rPr>
          <w:b/>
          <w:spacing w:val="-3"/>
        </w:rPr>
        <w:t xml:space="preserve"> Roisin Swords-Kieley</w:t>
      </w:r>
      <w:r w:rsidR="004C4389">
        <w:rPr>
          <w:b/>
          <w:spacing w:val="-3"/>
        </w:rPr>
        <w:t xml:space="preserve"> </w:t>
      </w:r>
      <w:r w:rsidR="00C439A3">
        <w:rPr>
          <w:bCs/>
          <w:spacing w:val="-3"/>
        </w:rPr>
        <w:t>(instructed by</w:t>
      </w:r>
      <w:r>
        <w:rPr>
          <w:bCs/>
          <w:spacing w:val="-3"/>
        </w:rPr>
        <w:t xml:space="preserve"> </w:t>
      </w:r>
      <w:r w:rsidR="00A42D53" w:rsidRPr="00A42D53">
        <w:rPr>
          <w:b/>
        </w:rPr>
        <w:t>Clifford Chance LLP</w:t>
      </w:r>
      <w:r w:rsidR="00C439A3">
        <w:rPr>
          <w:bCs/>
          <w:spacing w:val="-3"/>
        </w:rPr>
        <w:t xml:space="preserve">) for the </w:t>
      </w:r>
      <w:r w:rsidR="0071206F">
        <w:rPr>
          <w:b/>
          <w:spacing w:val="-3"/>
        </w:rPr>
        <w:t>Respondent</w:t>
      </w:r>
      <w:r w:rsidR="00A42D53">
        <w:rPr>
          <w:b/>
          <w:spacing w:val="-3"/>
        </w:rPr>
        <w:t>s</w:t>
      </w:r>
    </w:p>
    <w:p w14:paraId="6E2E5157" w14:textId="77777777" w:rsidR="00C439A3" w:rsidRDefault="00C439A3">
      <w:pPr>
        <w:suppressAutoHyphens/>
        <w:jc w:val="center"/>
        <w:rPr>
          <w:b/>
          <w:spacing w:val="-3"/>
        </w:rPr>
      </w:pPr>
    </w:p>
    <w:p w14:paraId="01F36C2C" w14:textId="64A1C626" w:rsidR="00C439A3" w:rsidRDefault="00C439A3">
      <w:pPr>
        <w:suppressAutoHyphens/>
        <w:jc w:val="center"/>
        <w:rPr>
          <w:spacing w:val="-3"/>
        </w:rPr>
      </w:pPr>
      <w:r>
        <w:rPr>
          <w:spacing w:val="-3"/>
        </w:rPr>
        <w:t xml:space="preserve">Hearing date: </w:t>
      </w:r>
      <w:r w:rsidR="00252B52">
        <w:rPr>
          <w:spacing w:val="-3"/>
        </w:rPr>
        <w:t>11</w:t>
      </w:r>
      <w:r w:rsidR="008D75B1">
        <w:rPr>
          <w:spacing w:val="-3"/>
        </w:rPr>
        <w:t xml:space="preserve"> </w:t>
      </w:r>
      <w:r w:rsidR="00252B52">
        <w:rPr>
          <w:spacing w:val="-3"/>
        </w:rPr>
        <w:t>December</w:t>
      </w:r>
      <w:r w:rsidR="00206FD7">
        <w:rPr>
          <w:spacing w:val="-3"/>
        </w:rPr>
        <w:t xml:space="preserve"> 2025</w:t>
      </w:r>
    </w:p>
    <w:p w14:paraId="7289874F" w14:textId="77777777" w:rsidR="00C439A3" w:rsidRDefault="00C439A3">
      <w:pPr>
        <w:suppressAutoHyphens/>
        <w:jc w:val="center"/>
        <w:rPr>
          <w:spacing w:val="-3"/>
        </w:rPr>
      </w:pPr>
      <w:r>
        <w:rPr>
          <w:spacing w:val="-3"/>
        </w:rPr>
        <w:t>- - - - - - - - - - - - - - - - - - - - -</w:t>
      </w:r>
    </w:p>
    <w:p w14:paraId="2FCFC8AB" w14:textId="189AB8D5" w:rsidR="00C439A3" w:rsidRDefault="00A574EC" w:rsidP="00A574EC">
      <w:pPr>
        <w:pStyle w:val="CoverDesc"/>
      </w:pPr>
      <w:r>
        <w:t>Judgment Approved by the court</w:t>
      </w:r>
      <w:r>
        <w:br/>
      </w:r>
    </w:p>
    <w:p w14:paraId="5152179F" w14:textId="77777777" w:rsidR="00F50AFF" w:rsidRDefault="00F50AFF">
      <w:pPr>
        <w:sectPr w:rsidR="00F50AFF">
          <w:footerReference w:type="default" r:id="rId9"/>
          <w:pgSz w:w="11909" w:h="16834" w:code="9"/>
          <w:pgMar w:top="720" w:right="1440" w:bottom="720" w:left="1440" w:header="720" w:footer="720" w:gutter="0"/>
          <w:pgNumType w:start="1"/>
          <w:cols w:space="720"/>
        </w:sectPr>
      </w:pPr>
      <w:bookmarkStart w:id="2" w:name="bkCACaveat3"/>
      <w:bookmarkEnd w:id="2"/>
    </w:p>
    <w:p w14:paraId="5560FDE3" w14:textId="14ADF7A9" w:rsidR="00C439A3" w:rsidRDefault="00C439A3">
      <w:pPr>
        <w:spacing w:after="240"/>
        <w:sectPr w:rsidR="00C439A3">
          <w:headerReference w:type="default" r:id="rId10"/>
          <w:footerReference w:type="default" r:id="rId11"/>
          <w:pgSz w:w="11906" w:h="16838" w:code="9"/>
          <w:pgMar w:top="1440" w:right="1440" w:bottom="1440" w:left="1440" w:header="709" w:footer="709" w:gutter="0"/>
          <w:cols w:space="708"/>
          <w:docGrid w:linePitch="360"/>
        </w:sectPr>
      </w:pPr>
      <w:r>
        <w:rPr>
          <w:b/>
        </w:rPr>
        <w:lastRenderedPageBreak/>
        <w:fldChar w:fldCharType="begin">
          <w:ffData>
            <w:name w:val="bkJudgeHeaderSave"/>
            <w:enabled/>
            <w:calcOnExit w:val="0"/>
            <w:textInput>
              <w:default w:val="Insert Judge name and Title here"/>
            </w:textInput>
          </w:ffData>
        </w:fldChar>
      </w:r>
      <w:bookmarkStart w:id="3" w:name="bkJudgeHeaderSave"/>
      <w:r>
        <w:rPr>
          <w:b/>
        </w:rPr>
        <w:instrText xml:space="preserve"> FORMTEXT </w:instrText>
      </w:r>
      <w:r>
        <w:rPr>
          <w:b/>
        </w:rPr>
      </w:r>
      <w:r>
        <w:rPr>
          <w:b/>
        </w:rPr>
        <w:fldChar w:fldCharType="separate"/>
      </w:r>
      <w:r w:rsidR="008E1A1A">
        <w:rPr>
          <w:b/>
        </w:rPr>
        <w:t>Lord Justice Bean</w:t>
      </w:r>
      <w:r>
        <w:rPr>
          <w:b/>
        </w:rPr>
        <w:fldChar w:fldCharType="end"/>
      </w:r>
      <w:bookmarkEnd w:id="3"/>
      <w:r>
        <w:rPr>
          <w:b/>
        </w:rPr>
        <w:t>:</w:t>
      </w:r>
    </w:p>
    <w:p w14:paraId="06DC2659" w14:textId="1CAC9040" w:rsidR="000B037C" w:rsidRPr="00A93FEF" w:rsidRDefault="000B037C" w:rsidP="00A574EC">
      <w:pPr>
        <w:pStyle w:val="ListParagraph"/>
        <w:numPr>
          <w:ilvl w:val="0"/>
          <w:numId w:val="11"/>
        </w:numPr>
        <w:spacing w:after="360" w:line="240" w:lineRule="auto"/>
        <w:contextualSpacing w:val="0"/>
        <w:jc w:val="both"/>
        <w:rPr>
          <w:rFonts w:ascii="Times New Roman" w:hAnsi="Times New Roman"/>
          <w:sz w:val="24"/>
          <w:szCs w:val="24"/>
        </w:rPr>
      </w:pPr>
      <w:r w:rsidRPr="00A93FEF">
        <w:rPr>
          <w:rFonts w:ascii="Times New Roman" w:hAnsi="Times New Roman"/>
          <w:sz w:val="24"/>
          <w:szCs w:val="24"/>
        </w:rPr>
        <w:t>This case concerns a decision of Hampshire County Council to cease to maintain an Education, Health and Care Plan (“</w:t>
      </w:r>
      <w:r w:rsidRPr="000B037C">
        <w:rPr>
          <w:rFonts w:ascii="Times New Roman" w:hAnsi="Times New Roman"/>
          <w:sz w:val="24"/>
          <w:szCs w:val="24"/>
        </w:rPr>
        <w:t>EHCP</w:t>
      </w:r>
      <w:r w:rsidRPr="00A93FEF">
        <w:rPr>
          <w:rFonts w:ascii="Times New Roman" w:hAnsi="Times New Roman"/>
          <w:sz w:val="24"/>
          <w:szCs w:val="24"/>
        </w:rPr>
        <w:t xml:space="preserve">”) </w:t>
      </w:r>
      <w:r w:rsidR="00D44B50">
        <w:rPr>
          <w:rFonts w:ascii="Times New Roman" w:hAnsi="Times New Roman"/>
          <w:sz w:val="24"/>
          <w:szCs w:val="24"/>
        </w:rPr>
        <w:t xml:space="preserve">for </w:t>
      </w:r>
      <w:r w:rsidRPr="00A93FEF">
        <w:rPr>
          <w:rFonts w:ascii="Times New Roman" w:hAnsi="Times New Roman"/>
          <w:sz w:val="24"/>
          <w:szCs w:val="24"/>
        </w:rPr>
        <w:t xml:space="preserve">a disabled child when the family temporarily relocated to Dubai due to the </w:t>
      </w:r>
      <w:r>
        <w:rPr>
          <w:rFonts w:ascii="Times New Roman" w:hAnsi="Times New Roman"/>
          <w:sz w:val="24"/>
          <w:szCs w:val="24"/>
        </w:rPr>
        <w:t>f</w:t>
      </w:r>
      <w:r w:rsidRPr="00A93FEF">
        <w:rPr>
          <w:rFonts w:ascii="Times New Roman" w:hAnsi="Times New Roman"/>
          <w:sz w:val="24"/>
          <w:szCs w:val="24"/>
        </w:rPr>
        <w:t>ather’s service in the Royal Navy. Three issues are raised:</w:t>
      </w:r>
    </w:p>
    <w:p w14:paraId="46B7CA9F" w14:textId="22716694" w:rsidR="000B037C" w:rsidRPr="00964375" w:rsidRDefault="000B037C" w:rsidP="00A574EC">
      <w:pPr>
        <w:pStyle w:val="ListParagraph"/>
        <w:numPr>
          <w:ilvl w:val="1"/>
          <w:numId w:val="11"/>
        </w:numPr>
        <w:spacing w:after="360" w:line="240" w:lineRule="auto"/>
        <w:ind w:left="1211"/>
        <w:contextualSpacing w:val="0"/>
        <w:jc w:val="both"/>
        <w:rPr>
          <w:rFonts w:ascii="Times New Roman" w:hAnsi="Times New Roman"/>
          <w:sz w:val="24"/>
          <w:szCs w:val="24"/>
        </w:rPr>
      </w:pPr>
      <w:r w:rsidRPr="00A93FEF">
        <w:rPr>
          <w:rFonts w:ascii="Times New Roman" w:hAnsi="Times New Roman"/>
          <w:sz w:val="24"/>
          <w:szCs w:val="24"/>
          <w:u w:val="single"/>
        </w:rPr>
        <w:t>First,</w:t>
      </w:r>
      <w:r w:rsidRPr="00A93FEF">
        <w:rPr>
          <w:rFonts w:ascii="Times New Roman" w:hAnsi="Times New Roman"/>
          <w:sz w:val="24"/>
          <w:szCs w:val="24"/>
        </w:rPr>
        <w:t xml:space="preserve"> the ‘</w:t>
      </w:r>
      <w:r w:rsidR="00D97086">
        <w:rPr>
          <w:rFonts w:ascii="Times New Roman" w:hAnsi="Times New Roman"/>
          <w:sz w:val="24"/>
          <w:szCs w:val="24"/>
        </w:rPr>
        <w:t>j</w:t>
      </w:r>
      <w:r w:rsidRPr="00A93FEF">
        <w:rPr>
          <w:rFonts w:ascii="Times New Roman" w:hAnsi="Times New Roman"/>
          <w:sz w:val="24"/>
          <w:szCs w:val="24"/>
        </w:rPr>
        <w:t xml:space="preserve">urisdiction </w:t>
      </w:r>
      <w:r w:rsidR="00D97086">
        <w:rPr>
          <w:rFonts w:ascii="Times New Roman" w:hAnsi="Times New Roman"/>
          <w:sz w:val="24"/>
          <w:szCs w:val="24"/>
        </w:rPr>
        <w:t>q</w:t>
      </w:r>
      <w:r w:rsidRPr="00A93FEF">
        <w:rPr>
          <w:rFonts w:ascii="Times New Roman" w:hAnsi="Times New Roman"/>
          <w:sz w:val="24"/>
          <w:szCs w:val="24"/>
        </w:rPr>
        <w:t>uestion’: What is the jurisdiction of the First</w:t>
      </w:r>
      <w:r w:rsidR="005F6DB9">
        <w:rPr>
          <w:rFonts w:ascii="Times New Roman" w:hAnsi="Times New Roman"/>
          <w:sz w:val="24"/>
          <w:szCs w:val="24"/>
        </w:rPr>
        <w:t>-t</w:t>
      </w:r>
      <w:r w:rsidRPr="00A93FEF">
        <w:rPr>
          <w:rFonts w:ascii="Times New Roman" w:hAnsi="Times New Roman"/>
          <w:sz w:val="24"/>
          <w:szCs w:val="24"/>
        </w:rPr>
        <w:t>ier Tribunal under s.51 of the Children and Families Act 2014</w:t>
      </w:r>
      <w:r w:rsidR="00FE2207">
        <w:rPr>
          <w:rFonts w:ascii="Times New Roman" w:hAnsi="Times New Roman"/>
          <w:sz w:val="24"/>
          <w:szCs w:val="24"/>
        </w:rPr>
        <w:t xml:space="preserve"> (“the 2014 Act”)</w:t>
      </w:r>
      <w:r w:rsidRPr="00A93FEF">
        <w:rPr>
          <w:rFonts w:ascii="Times New Roman" w:hAnsi="Times New Roman"/>
          <w:sz w:val="24"/>
          <w:szCs w:val="24"/>
        </w:rPr>
        <w:t>? In particular</w:t>
      </w:r>
      <w:r>
        <w:rPr>
          <w:rFonts w:ascii="Times New Roman" w:hAnsi="Times New Roman"/>
          <w:sz w:val="24"/>
          <w:szCs w:val="24"/>
        </w:rPr>
        <w:t xml:space="preserve">, </w:t>
      </w:r>
      <w:r w:rsidRPr="00A93FEF">
        <w:rPr>
          <w:rFonts w:ascii="Times New Roman" w:hAnsi="Times New Roman"/>
          <w:sz w:val="24"/>
          <w:szCs w:val="24"/>
        </w:rPr>
        <w:t xml:space="preserve">may the Tribunal uphold an appeal on the basis of a procedural error (or multiple procedural errors) made by </w:t>
      </w:r>
      <w:r w:rsidR="00FE2207">
        <w:rPr>
          <w:rFonts w:ascii="Times New Roman" w:hAnsi="Times New Roman"/>
          <w:sz w:val="24"/>
          <w:szCs w:val="24"/>
        </w:rPr>
        <w:t>a</w:t>
      </w:r>
      <w:r w:rsidRPr="00A93FEF">
        <w:rPr>
          <w:rFonts w:ascii="Times New Roman" w:hAnsi="Times New Roman"/>
          <w:sz w:val="24"/>
          <w:szCs w:val="24"/>
        </w:rPr>
        <w:t xml:space="preserve"> local authority</w:t>
      </w:r>
      <w:r w:rsidR="00067EE2">
        <w:rPr>
          <w:rFonts w:ascii="Times New Roman" w:hAnsi="Times New Roman"/>
          <w:sz w:val="24"/>
          <w:szCs w:val="24"/>
        </w:rPr>
        <w:t>?</w:t>
      </w:r>
      <w:r w:rsidRPr="00964375">
        <w:t>.</w:t>
      </w:r>
    </w:p>
    <w:p w14:paraId="13E508A3" w14:textId="7E4EF63E" w:rsidR="000B037C" w:rsidRPr="00A93FEF" w:rsidRDefault="000B037C" w:rsidP="00A574EC">
      <w:pPr>
        <w:pStyle w:val="ListParagraph"/>
        <w:numPr>
          <w:ilvl w:val="1"/>
          <w:numId w:val="11"/>
        </w:numPr>
        <w:spacing w:after="360" w:line="240" w:lineRule="auto"/>
        <w:ind w:left="1211"/>
        <w:contextualSpacing w:val="0"/>
        <w:jc w:val="both"/>
        <w:rPr>
          <w:rFonts w:ascii="Times New Roman" w:hAnsi="Times New Roman"/>
          <w:sz w:val="24"/>
          <w:szCs w:val="24"/>
        </w:rPr>
      </w:pPr>
      <w:r w:rsidRPr="00A93FEF">
        <w:rPr>
          <w:rFonts w:ascii="Times New Roman" w:hAnsi="Times New Roman"/>
          <w:sz w:val="24"/>
          <w:szCs w:val="24"/>
          <w:u w:val="single"/>
        </w:rPr>
        <w:t>Second,</w:t>
      </w:r>
      <w:r w:rsidRPr="00A93FEF">
        <w:rPr>
          <w:rFonts w:ascii="Times New Roman" w:hAnsi="Times New Roman"/>
          <w:sz w:val="24"/>
          <w:szCs w:val="24"/>
        </w:rPr>
        <w:t xml:space="preserve"> the ‘</w:t>
      </w:r>
      <w:r w:rsidR="00D97086">
        <w:rPr>
          <w:rFonts w:ascii="Times New Roman" w:hAnsi="Times New Roman"/>
          <w:sz w:val="24"/>
          <w:szCs w:val="24"/>
        </w:rPr>
        <w:t>r</w:t>
      </w:r>
      <w:r w:rsidRPr="00A93FEF">
        <w:rPr>
          <w:rFonts w:ascii="Times New Roman" w:hAnsi="Times New Roman"/>
          <w:sz w:val="24"/>
          <w:szCs w:val="24"/>
        </w:rPr>
        <w:t xml:space="preserve">esidence </w:t>
      </w:r>
      <w:r w:rsidR="00D97086">
        <w:rPr>
          <w:rFonts w:ascii="Times New Roman" w:hAnsi="Times New Roman"/>
          <w:sz w:val="24"/>
          <w:szCs w:val="24"/>
        </w:rPr>
        <w:t>q</w:t>
      </w:r>
      <w:r w:rsidRPr="00A93FEF">
        <w:rPr>
          <w:rFonts w:ascii="Times New Roman" w:hAnsi="Times New Roman"/>
          <w:sz w:val="24"/>
          <w:szCs w:val="24"/>
        </w:rPr>
        <w:t>uestion’: What is the meaning of the phrase “in the authority’s area” in s.24</w:t>
      </w:r>
      <w:r>
        <w:rPr>
          <w:rFonts w:ascii="Times New Roman" w:hAnsi="Times New Roman"/>
          <w:sz w:val="24"/>
          <w:szCs w:val="24"/>
        </w:rPr>
        <w:t xml:space="preserve"> of the </w:t>
      </w:r>
      <w:r w:rsidRPr="00A93FEF">
        <w:rPr>
          <w:rFonts w:ascii="Times New Roman" w:hAnsi="Times New Roman"/>
          <w:sz w:val="24"/>
          <w:szCs w:val="24"/>
        </w:rPr>
        <w:t>2014</w:t>
      </w:r>
      <w:r>
        <w:rPr>
          <w:rFonts w:ascii="Times New Roman" w:hAnsi="Times New Roman"/>
          <w:sz w:val="24"/>
          <w:szCs w:val="24"/>
        </w:rPr>
        <w:t xml:space="preserve"> Act</w:t>
      </w:r>
      <w:r w:rsidRPr="00A93FEF">
        <w:rPr>
          <w:rFonts w:ascii="Times New Roman" w:hAnsi="Times New Roman"/>
          <w:sz w:val="24"/>
          <w:szCs w:val="24"/>
        </w:rPr>
        <w:t xml:space="preserve">, and are </w:t>
      </w:r>
      <w:r>
        <w:rPr>
          <w:rFonts w:ascii="Times New Roman" w:hAnsi="Times New Roman"/>
          <w:sz w:val="24"/>
          <w:szCs w:val="24"/>
        </w:rPr>
        <w:t>l</w:t>
      </w:r>
      <w:r w:rsidRPr="00A93FEF">
        <w:rPr>
          <w:rFonts w:ascii="Times New Roman" w:hAnsi="Times New Roman"/>
          <w:sz w:val="24"/>
          <w:szCs w:val="24"/>
        </w:rPr>
        <w:t xml:space="preserve">ocal </w:t>
      </w:r>
      <w:r>
        <w:rPr>
          <w:rFonts w:ascii="Times New Roman" w:hAnsi="Times New Roman"/>
          <w:sz w:val="24"/>
          <w:szCs w:val="24"/>
        </w:rPr>
        <w:t>a</w:t>
      </w:r>
      <w:r w:rsidRPr="00A93FEF">
        <w:rPr>
          <w:rFonts w:ascii="Times New Roman" w:hAnsi="Times New Roman"/>
          <w:sz w:val="24"/>
          <w:szCs w:val="24"/>
        </w:rPr>
        <w:t xml:space="preserve">uthorities responsible for children with special educational needs who are temporarily absent from their area? In particular, for the purpose of Part 3 </w:t>
      </w:r>
      <w:r>
        <w:rPr>
          <w:rFonts w:ascii="Times New Roman" w:hAnsi="Times New Roman"/>
          <w:sz w:val="24"/>
          <w:szCs w:val="24"/>
        </w:rPr>
        <w:t>of the 2014 Act</w:t>
      </w:r>
      <w:r w:rsidRPr="00A93FEF">
        <w:rPr>
          <w:rFonts w:ascii="Times New Roman" w:hAnsi="Times New Roman"/>
          <w:sz w:val="24"/>
          <w:szCs w:val="24"/>
        </w:rPr>
        <w:t xml:space="preserve">, is the test for determining </w:t>
      </w:r>
      <w:r>
        <w:rPr>
          <w:rFonts w:ascii="Times New Roman" w:hAnsi="Times New Roman"/>
          <w:sz w:val="24"/>
          <w:szCs w:val="24"/>
        </w:rPr>
        <w:t>whether</w:t>
      </w:r>
      <w:r w:rsidRPr="00A93FEF">
        <w:rPr>
          <w:rFonts w:ascii="Times New Roman" w:hAnsi="Times New Roman"/>
          <w:sz w:val="24"/>
          <w:szCs w:val="24"/>
        </w:rPr>
        <w:t xml:space="preserve"> a child is in a local authority’s area one of ordinary</w:t>
      </w:r>
      <w:r>
        <w:rPr>
          <w:rFonts w:ascii="Times New Roman" w:hAnsi="Times New Roman"/>
          <w:sz w:val="24"/>
          <w:szCs w:val="24"/>
        </w:rPr>
        <w:t>/</w:t>
      </w:r>
      <w:r w:rsidRPr="00A93FEF">
        <w:rPr>
          <w:rFonts w:ascii="Times New Roman" w:hAnsi="Times New Roman"/>
          <w:sz w:val="24"/>
          <w:szCs w:val="24"/>
        </w:rPr>
        <w:t>habitual residence, or physical presence?</w:t>
      </w:r>
    </w:p>
    <w:p w14:paraId="548904A5" w14:textId="575D2E93" w:rsidR="000B037C" w:rsidRPr="000355B4" w:rsidRDefault="000B037C" w:rsidP="00A574EC">
      <w:pPr>
        <w:pStyle w:val="ListParagraph"/>
        <w:numPr>
          <w:ilvl w:val="1"/>
          <w:numId w:val="11"/>
        </w:numPr>
        <w:spacing w:after="360" w:line="240" w:lineRule="auto"/>
        <w:ind w:left="1211"/>
        <w:contextualSpacing w:val="0"/>
        <w:jc w:val="both"/>
        <w:rPr>
          <w:rFonts w:ascii="Times New Roman" w:hAnsi="Times New Roman"/>
          <w:sz w:val="24"/>
          <w:szCs w:val="24"/>
        </w:rPr>
      </w:pPr>
      <w:r w:rsidRPr="00A93FEF">
        <w:rPr>
          <w:rFonts w:ascii="Times New Roman" w:hAnsi="Times New Roman"/>
          <w:sz w:val="24"/>
          <w:szCs w:val="24"/>
          <w:u w:val="single"/>
        </w:rPr>
        <w:t>Third</w:t>
      </w:r>
      <w:r w:rsidRPr="00A93FEF">
        <w:rPr>
          <w:rFonts w:ascii="Times New Roman" w:hAnsi="Times New Roman"/>
          <w:sz w:val="24"/>
          <w:szCs w:val="24"/>
        </w:rPr>
        <w:t>, the ‘</w:t>
      </w:r>
      <w:r w:rsidR="00D97086">
        <w:rPr>
          <w:rFonts w:ascii="Times New Roman" w:hAnsi="Times New Roman"/>
          <w:sz w:val="24"/>
          <w:szCs w:val="24"/>
        </w:rPr>
        <w:t>i</w:t>
      </w:r>
      <w:r w:rsidRPr="00A93FEF">
        <w:rPr>
          <w:rFonts w:ascii="Times New Roman" w:hAnsi="Times New Roman"/>
          <w:sz w:val="24"/>
          <w:szCs w:val="24"/>
        </w:rPr>
        <w:t xml:space="preserve">mplementation </w:t>
      </w:r>
      <w:r w:rsidR="00D97086">
        <w:rPr>
          <w:rFonts w:ascii="Times New Roman" w:hAnsi="Times New Roman"/>
          <w:sz w:val="24"/>
          <w:szCs w:val="24"/>
        </w:rPr>
        <w:t>q</w:t>
      </w:r>
      <w:r w:rsidRPr="00A93FEF">
        <w:rPr>
          <w:rFonts w:ascii="Times New Roman" w:hAnsi="Times New Roman"/>
          <w:sz w:val="24"/>
          <w:szCs w:val="24"/>
        </w:rPr>
        <w:t>uestion’: Are there circumstances in which a local authority may maintain an E</w:t>
      </w:r>
      <w:r w:rsidR="00F20C51">
        <w:rPr>
          <w:rFonts w:ascii="Times New Roman" w:hAnsi="Times New Roman"/>
          <w:sz w:val="24"/>
          <w:szCs w:val="24"/>
        </w:rPr>
        <w:t>HC</w:t>
      </w:r>
      <w:r w:rsidRPr="00A93FEF">
        <w:rPr>
          <w:rFonts w:ascii="Times New Roman" w:hAnsi="Times New Roman"/>
          <w:sz w:val="24"/>
          <w:szCs w:val="24"/>
        </w:rPr>
        <w:t xml:space="preserve">P for a child without securing the </w:t>
      </w:r>
      <w:r w:rsidRPr="00376A09">
        <w:rPr>
          <w:rFonts w:asciiTheme="majorBidi" w:hAnsiTheme="majorBidi" w:cstheme="majorBidi"/>
          <w:sz w:val="24"/>
          <w:szCs w:val="24"/>
        </w:rPr>
        <w:t>provision set out in the plan, and how can a local authority give effect to that duty in such circumstances?</w:t>
      </w:r>
    </w:p>
    <w:p w14:paraId="278406F5" w14:textId="50193402" w:rsidR="000B037C" w:rsidRDefault="000B037C" w:rsidP="00A574EC">
      <w:pPr>
        <w:pStyle w:val="Heading1"/>
        <w:rPr>
          <w:rFonts w:ascii="Times New Roman" w:hAnsi="Times New Roman" w:cs="Times New Roman"/>
          <w:b w:val="0"/>
          <w:bCs w:val="0"/>
          <w:i/>
          <w:iCs/>
          <w:sz w:val="24"/>
          <w:szCs w:val="24"/>
        </w:rPr>
      </w:pPr>
      <w:bookmarkStart w:id="4" w:name="_Toc216144020"/>
      <w:r w:rsidRPr="00A87BF9">
        <w:rPr>
          <w:rFonts w:ascii="Times New Roman" w:hAnsi="Times New Roman" w:cs="Times New Roman"/>
          <w:b w:val="0"/>
          <w:bCs w:val="0"/>
          <w:i/>
          <w:iCs/>
          <w:sz w:val="24"/>
          <w:szCs w:val="24"/>
        </w:rPr>
        <w:t>F</w:t>
      </w:r>
      <w:bookmarkEnd w:id="4"/>
      <w:r w:rsidR="00A87BF9">
        <w:rPr>
          <w:rFonts w:ascii="Times New Roman" w:hAnsi="Times New Roman" w:cs="Times New Roman"/>
          <w:b w:val="0"/>
          <w:bCs w:val="0"/>
          <w:i/>
          <w:iCs/>
          <w:sz w:val="24"/>
          <w:szCs w:val="24"/>
        </w:rPr>
        <w:t>actual and procedural background</w:t>
      </w:r>
    </w:p>
    <w:p w14:paraId="31616451" w14:textId="77777777" w:rsidR="00A87BF9" w:rsidRPr="00A87BF9" w:rsidRDefault="00A87BF9" w:rsidP="00A574EC"/>
    <w:p w14:paraId="0F0BB6C1" w14:textId="7378FDB3" w:rsidR="000B037C" w:rsidRPr="00A93FEF"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This case concerns the provision of an EHC</w:t>
      </w:r>
      <w:r w:rsidR="00A87BF9">
        <w:rPr>
          <w:rFonts w:ascii="Times New Roman" w:hAnsi="Times New Roman" w:cs="Times New Roman"/>
          <w:sz w:val="24"/>
          <w:szCs w:val="24"/>
        </w:rPr>
        <w:t>P</w:t>
      </w:r>
      <w:r w:rsidRPr="00A93FEF">
        <w:rPr>
          <w:rFonts w:ascii="Times New Roman" w:hAnsi="Times New Roman" w:cs="Times New Roman"/>
          <w:sz w:val="24"/>
          <w:szCs w:val="24"/>
        </w:rPr>
        <w:t xml:space="preserve"> for a </w:t>
      </w:r>
      <w:r w:rsidR="00A87BF9">
        <w:rPr>
          <w:rFonts w:ascii="Times New Roman" w:hAnsi="Times New Roman" w:cs="Times New Roman"/>
          <w:sz w:val="24"/>
          <w:szCs w:val="24"/>
        </w:rPr>
        <w:t>boy</w:t>
      </w:r>
      <w:r w:rsidRPr="00A93FEF">
        <w:rPr>
          <w:rFonts w:ascii="Times New Roman" w:hAnsi="Times New Roman" w:cs="Times New Roman"/>
          <w:sz w:val="24"/>
          <w:szCs w:val="24"/>
        </w:rPr>
        <w:t xml:space="preserve">, T. T was born on 15 June 2015. He has a diagnosis of Autistic Spectrum Disorder and Global Development Delay. T attended Primary School in Hampshire from September 2019, and his first EHCP was issued on 14 October 2019. </w:t>
      </w:r>
      <w:r w:rsidR="00A87BF9">
        <w:rPr>
          <w:rFonts w:ascii="Times New Roman" w:hAnsi="Times New Roman" w:cs="Times New Roman"/>
          <w:sz w:val="24"/>
          <w:szCs w:val="24"/>
        </w:rPr>
        <w:t>The identity of T and his parents</w:t>
      </w:r>
      <w:r w:rsidR="00C95F70">
        <w:rPr>
          <w:rFonts w:ascii="Times New Roman" w:hAnsi="Times New Roman" w:cs="Times New Roman"/>
          <w:sz w:val="24"/>
          <w:szCs w:val="24"/>
        </w:rPr>
        <w:t>, the Respondents to this appeal,</w:t>
      </w:r>
      <w:r w:rsidR="00A87BF9">
        <w:rPr>
          <w:rFonts w:ascii="Times New Roman" w:hAnsi="Times New Roman" w:cs="Times New Roman"/>
          <w:sz w:val="24"/>
          <w:szCs w:val="24"/>
        </w:rPr>
        <w:t xml:space="preserve"> is protected by an anonymity order which remains in force.</w:t>
      </w:r>
    </w:p>
    <w:p w14:paraId="4F6EC41B" w14:textId="7D256061" w:rsidR="000B037C" w:rsidRPr="004A79D5"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T’s father</w:t>
      </w:r>
      <w:r w:rsidR="00A87BF9">
        <w:rPr>
          <w:rFonts w:ascii="Times New Roman" w:hAnsi="Times New Roman" w:cs="Times New Roman"/>
          <w:sz w:val="24"/>
          <w:szCs w:val="24"/>
        </w:rPr>
        <w:t>, GC,</w:t>
      </w:r>
      <w:r w:rsidRPr="00A93FEF">
        <w:rPr>
          <w:rFonts w:ascii="Times New Roman" w:hAnsi="Times New Roman" w:cs="Times New Roman"/>
          <w:sz w:val="24"/>
          <w:szCs w:val="24"/>
        </w:rPr>
        <w:t xml:space="preserve"> is a Chief Petty Officer in the Royal Navy.</w:t>
      </w:r>
      <w:r w:rsidRPr="004A79D5">
        <w:rPr>
          <w:rFonts w:ascii="Times New Roman" w:hAnsi="Times New Roman" w:cs="Times New Roman"/>
          <w:sz w:val="24"/>
          <w:szCs w:val="24"/>
        </w:rPr>
        <w:t xml:space="preserve"> </w:t>
      </w:r>
      <w:r w:rsidR="00A87BF9" w:rsidRPr="004A79D5">
        <w:rPr>
          <w:rFonts w:ascii="Times New Roman" w:hAnsi="Times New Roman" w:cs="Times New Roman"/>
          <w:sz w:val="24"/>
          <w:szCs w:val="24"/>
        </w:rPr>
        <w:t>GC</w:t>
      </w:r>
      <w:r w:rsidRPr="004A79D5">
        <w:rPr>
          <w:rFonts w:ascii="Times New Roman" w:hAnsi="Times New Roman" w:cs="Times New Roman"/>
          <w:sz w:val="24"/>
          <w:szCs w:val="24"/>
        </w:rPr>
        <w:t xml:space="preserve"> was born</w:t>
      </w:r>
      <w:r w:rsidR="00A87BF9" w:rsidRPr="004A79D5">
        <w:rPr>
          <w:rFonts w:ascii="Times New Roman" w:hAnsi="Times New Roman" w:cs="Times New Roman"/>
          <w:sz w:val="24"/>
          <w:szCs w:val="24"/>
        </w:rPr>
        <w:t xml:space="preserve"> </w:t>
      </w:r>
      <w:r w:rsidRPr="004A79D5">
        <w:rPr>
          <w:rFonts w:ascii="Times New Roman" w:hAnsi="Times New Roman" w:cs="Times New Roman"/>
          <w:sz w:val="24"/>
          <w:szCs w:val="24"/>
        </w:rPr>
        <w:t>in Hampshire and has been employed by the Royal Navy since February 2006. He has gone on three deployments (</w:t>
      </w:r>
      <w:r w:rsidR="00A87BF9" w:rsidRPr="004A79D5">
        <w:rPr>
          <w:rFonts w:ascii="Times New Roman" w:hAnsi="Times New Roman" w:cs="Times New Roman"/>
          <w:sz w:val="24"/>
          <w:szCs w:val="24"/>
        </w:rPr>
        <w:t xml:space="preserve">the most recent being to </w:t>
      </w:r>
      <w:r w:rsidRPr="004A79D5">
        <w:rPr>
          <w:rFonts w:ascii="Times New Roman" w:hAnsi="Times New Roman" w:cs="Times New Roman"/>
          <w:sz w:val="24"/>
          <w:szCs w:val="24"/>
        </w:rPr>
        <w:t xml:space="preserve">Bahrain </w:t>
      </w:r>
      <w:r w:rsidR="00A87BF9" w:rsidRPr="004A79D5">
        <w:rPr>
          <w:rFonts w:ascii="Times New Roman" w:hAnsi="Times New Roman" w:cs="Times New Roman"/>
          <w:sz w:val="24"/>
          <w:szCs w:val="24"/>
        </w:rPr>
        <w:t xml:space="preserve">in </w:t>
      </w:r>
      <w:r w:rsidRPr="004A79D5">
        <w:rPr>
          <w:rFonts w:ascii="Times New Roman" w:hAnsi="Times New Roman" w:cs="Times New Roman"/>
          <w:sz w:val="24"/>
          <w:szCs w:val="24"/>
        </w:rPr>
        <w:t xml:space="preserve">2018) without </w:t>
      </w:r>
      <w:r w:rsidR="004E4F39">
        <w:rPr>
          <w:rFonts w:ascii="Times New Roman" w:hAnsi="Times New Roman" w:cs="Times New Roman"/>
          <w:sz w:val="24"/>
          <w:szCs w:val="24"/>
        </w:rPr>
        <w:t>his</w:t>
      </w:r>
      <w:r w:rsidRPr="004A79D5">
        <w:rPr>
          <w:rFonts w:ascii="Times New Roman" w:hAnsi="Times New Roman" w:cs="Times New Roman"/>
          <w:sz w:val="24"/>
          <w:szCs w:val="24"/>
        </w:rPr>
        <w:t xml:space="preserve"> family; and has been on </w:t>
      </w:r>
      <w:r w:rsidR="004E4F39">
        <w:rPr>
          <w:rFonts w:ascii="Times New Roman" w:hAnsi="Times New Roman" w:cs="Times New Roman"/>
          <w:sz w:val="24"/>
          <w:szCs w:val="24"/>
        </w:rPr>
        <w:t>six</w:t>
      </w:r>
      <w:r w:rsidRPr="004A79D5">
        <w:rPr>
          <w:rFonts w:ascii="Times New Roman" w:hAnsi="Times New Roman" w:cs="Times New Roman"/>
          <w:sz w:val="24"/>
          <w:szCs w:val="24"/>
        </w:rPr>
        <w:t>-month deployments on ships at various times as well. During all these times he has retained a residential address in Hampshire (first at his paren</w:t>
      </w:r>
      <w:r w:rsidR="00F17026" w:rsidRPr="004A79D5">
        <w:rPr>
          <w:rFonts w:ascii="Times New Roman" w:hAnsi="Times New Roman" w:cs="Times New Roman"/>
          <w:sz w:val="24"/>
          <w:szCs w:val="24"/>
        </w:rPr>
        <w:t>ts’</w:t>
      </w:r>
      <w:r w:rsidRPr="004A79D5">
        <w:rPr>
          <w:rFonts w:ascii="Times New Roman" w:hAnsi="Times New Roman" w:cs="Times New Roman"/>
          <w:sz w:val="24"/>
          <w:szCs w:val="24"/>
        </w:rPr>
        <w:t xml:space="preserve"> house, then at his own property). </w:t>
      </w:r>
    </w:p>
    <w:p w14:paraId="67663046" w14:textId="3A24BA4E" w:rsidR="000B037C" w:rsidRPr="00A93FEF"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 xml:space="preserve">In August 2021 the Royal Navy deployed </w:t>
      </w:r>
      <w:r w:rsidR="0036304E">
        <w:rPr>
          <w:rFonts w:ascii="Times New Roman" w:hAnsi="Times New Roman" w:cs="Times New Roman"/>
          <w:sz w:val="24"/>
          <w:szCs w:val="24"/>
        </w:rPr>
        <w:t>GC</w:t>
      </w:r>
      <w:r w:rsidRPr="00A93FEF">
        <w:rPr>
          <w:rFonts w:ascii="Times New Roman" w:hAnsi="Times New Roman" w:cs="Times New Roman"/>
          <w:sz w:val="24"/>
          <w:szCs w:val="24"/>
        </w:rPr>
        <w:t xml:space="preserve"> to a British military installation in Dubai. The move was initially to be for three years but was later reduced to two. The </w:t>
      </w:r>
      <w:r w:rsidR="0036304E">
        <w:rPr>
          <w:rFonts w:ascii="Times New Roman" w:hAnsi="Times New Roman" w:cs="Times New Roman"/>
          <w:sz w:val="24"/>
          <w:szCs w:val="24"/>
        </w:rPr>
        <w:t>family, including</w:t>
      </w:r>
      <w:r w:rsidRPr="00A93FEF">
        <w:rPr>
          <w:rFonts w:ascii="Times New Roman" w:hAnsi="Times New Roman" w:cs="Times New Roman"/>
          <w:sz w:val="24"/>
          <w:szCs w:val="24"/>
        </w:rPr>
        <w:t xml:space="preserve"> T</w:t>
      </w:r>
      <w:r w:rsidR="0036304E">
        <w:rPr>
          <w:rFonts w:ascii="Times New Roman" w:hAnsi="Times New Roman" w:cs="Times New Roman"/>
          <w:sz w:val="24"/>
          <w:szCs w:val="24"/>
        </w:rPr>
        <w:t>,</w:t>
      </w:r>
      <w:r w:rsidRPr="00A93FEF">
        <w:rPr>
          <w:rFonts w:ascii="Times New Roman" w:hAnsi="Times New Roman" w:cs="Times New Roman"/>
          <w:sz w:val="24"/>
          <w:szCs w:val="24"/>
        </w:rPr>
        <w:t xml:space="preserve"> moved to Dubai. T’s needs were to be supported by provision facilitated by the Ministry of Defence. It was understood by all that the family would return to their home in Hampshire at the end of the deployment (which they did). One of the </w:t>
      </w:r>
      <w:r w:rsidR="0036304E">
        <w:rPr>
          <w:rFonts w:ascii="Times New Roman" w:hAnsi="Times New Roman" w:cs="Times New Roman"/>
          <w:sz w:val="24"/>
          <w:szCs w:val="24"/>
        </w:rPr>
        <w:t>Council</w:t>
      </w:r>
      <w:r w:rsidRPr="00A93FEF">
        <w:rPr>
          <w:rFonts w:ascii="Times New Roman" w:hAnsi="Times New Roman" w:cs="Times New Roman"/>
          <w:sz w:val="24"/>
          <w:szCs w:val="24"/>
        </w:rPr>
        <w:t>’s case workers emailed the Respondent</w:t>
      </w:r>
      <w:r w:rsidR="00487B7D">
        <w:rPr>
          <w:rFonts w:ascii="Times New Roman" w:hAnsi="Times New Roman" w:cs="Times New Roman"/>
          <w:sz w:val="24"/>
          <w:szCs w:val="24"/>
        </w:rPr>
        <w:t>s</w:t>
      </w:r>
      <w:r w:rsidRPr="00A93FEF">
        <w:rPr>
          <w:rFonts w:ascii="Times New Roman" w:hAnsi="Times New Roman" w:cs="Times New Roman"/>
          <w:sz w:val="24"/>
          <w:szCs w:val="24"/>
        </w:rPr>
        <w:t xml:space="preserve"> to say that T’s EHCP would be “paused” until the family returned. </w:t>
      </w:r>
    </w:p>
    <w:p w14:paraId="5656DFEB" w14:textId="5B6BB886" w:rsidR="000B037C" w:rsidRPr="00A93FEF"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The family retained ownership of their house in Fareham, Hampshire during this period but secured a tenancy contract for it for a term of 12 months</w:t>
      </w:r>
      <w:r w:rsidRPr="00A93FEF">
        <w:rPr>
          <w:rFonts w:ascii="Times New Roman" w:hAnsi="Times New Roman" w:cs="Times New Roman"/>
          <w:b/>
          <w:bCs/>
          <w:sz w:val="24"/>
          <w:szCs w:val="24"/>
        </w:rPr>
        <w:t>.</w:t>
      </w:r>
    </w:p>
    <w:p w14:paraId="5DD92930" w14:textId="5C4F5D68" w:rsidR="000B037C" w:rsidRPr="00661094"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lastRenderedPageBreak/>
        <w:t>On 19 November 2021 the Appellant notified the Respondent</w:t>
      </w:r>
      <w:r w:rsidR="00C95F70">
        <w:rPr>
          <w:rFonts w:ascii="Times New Roman" w:hAnsi="Times New Roman" w:cs="Times New Roman"/>
          <w:sz w:val="24"/>
          <w:szCs w:val="24"/>
        </w:rPr>
        <w:t xml:space="preserve">s </w:t>
      </w:r>
      <w:r w:rsidRPr="00A93FEF">
        <w:rPr>
          <w:rFonts w:ascii="Times New Roman" w:hAnsi="Times New Roman" w:cs="Times New Roman"/>
          <w:sz w:val="24"/>
          <w:szCs w:val="24"/>
        </w:rPr>
        <w:t>that T’s EHCP would cease from “</w:t>
      </w:r>
      <w:r w:rsidRPr="00DE3A5B">
        <w:rPr>
          <w:rFonts w:ascii="Times New Roman" w:hAnsi="Times New Roman" w:cs="Times New Roman"/>
          <w:sz w:val="24"/>
          <w:szCs w:val="24"/>
        </w:rPr>
        <w:t>this date</w:t>
      </w:r>
      <w:r w:rsidRPr="00A93FEF">
        <w:rPr>
          <w:rFonts w:ascii="Times New Roman" w:hAnsi="Times New Roman" w:cs="Times New Roman"/>
          <w:sz w:val="24"/>
          <w:szCs w:val="24"/>
        </w:rPr>
        <w:t>”. No consultation had occurred</w:t>
      </w:r>
      <w:r w:rsidR="0036304E">
        <w:rPr>
          <w:rFonts w:ascii="Times New Roman" w:hAnsi="Times New Roman" w:cs="Times New Roman"/>
          <w:sz w:val="24"/>
          <w:szCs w:val="24"/>
        </w:rPr>
        <w:t xml:space="preserve">. It is common ground that this constituted </w:t>
      </w:r>
      <w:r w:rsidRPr="00A93FEF">
        <w:rPr>
          <w:rFonts w:ascii="Times New Roman" w:hAnsi="Times New Roman" w:cs="Times New Roman"/>
          <w:sz w:val="24"/>
          <w:szCs w:val="24"/>
        </w:rPr>
        <w:t xml:space="preserve">a breach of s.45(5)(c) of the </w:t>
      </w:r>
      <w:r w:rsidR="00817487">
        <w:rPr>
          <w:rFonts w:ascii="Times New Roman" w:hAnsi="Times New Roman" w:cs="Times New Roman"/>
          <w:sz w:val="24"/>
          <w:szCs w:val="24"/>
        </w:rPr>
        <w:t>2014 Act</w:t>
      </w:r>
      <w:r w:rsidRPr="00A93FEF">
        <w:rPr>
          <w:rFonts w:ascii="Times New Roman" w:hAnsi="Times New Roman" w:cs="Times New Roman"/>
          <w:sz w:val="24"/>
          <w:szCs w:val="24"/>
        </w:rPr>
        <w:t xml:space="preserve"> and </w:t>
      </w:r>
      <w:r w:rsidR="00817487">
        <w:rPr>
          <w:rFonts w:ascii="Times New Roman" w:hAnsi="Times New Roman" w:cs="Times New Roman"/>
          <w:sz w:val="24"/>
          <w:szCs w:val="24"/>
        </w:rPr>
        <w:t>r</w:t>
      </w:r>
      <w:r w:rsidRPr="00A93FEF">
        <w:rPr>
          <w:rFonts w:ascii="Times New Roman" w:hAnsi="Times New Roman" w:cs="Times New Roman"/>
          <w:sz w:val="24"/>
          <w:szCs w:val="24"/>
        </w:rPr>
        <w:t>eg 31(1) of the</w:t>
      </w:r>
      <w:r w:rsidR="00817487">
        <w:rPr>
          <w:rFonts w:ascii="Times New Roman" w:hAnsi="Times New Roman" w:cs="Times New Roman"/>
          <w:sz w:val="24"/>
          <w:szCs w:val="24"/>
        </w:rPr>
        <w:t xml:space="preserve"> </w:t>
      </w:r>
      <w:r w:rsidR="00817487" w:rsidRPr="00661094">
        <w:rPr>
          <w:rFonts w:ascii="Times New Roman" w:hAnsi="Times New Roman" w:cs="Times New Roman"/>
          <w:sz w:val="24"/>
          <w:szCs w:val="24"/>
        </w:rPr>
        <w:t>Special Educational Needs and Disability Regulations 2014</w:t>
      </w:r>
      <w:r w:rsidR="00BD5A95" w:rsidRPr="00661094">
        <w:rPr>
          <w:rFonts w:ascii="Times New Roman" w:hAnsi="Times New Roman" w:cs="Times New Roman"/>
          <w:sz w:val="24"/>
          <w:szCs w:val="24"/>
        </w:rPr>
        <w:t xml:space="preserve"> (“the SEND Regulations”)</w:t>
      </w:r>
      <w:r w:rsidR="00094F34">
        <w:rPr>
          <w:rFonts w:ascii="Times New Roman" w:hAnsi="Times New Roman" w:cs="Times New Roman"/>
          <w:sz w:val="24"/>
          <w:szCs w:val="24"/>
        </w:rPr>
        <w:t>.</w:t>
      </w:r>
      <w:r w:rsidR="00817487" w:rsidRPr="00661094">
        <w:rPr>
          <w:rFonts w:ascii="Times New Roman" w:hAnsi="Times New Roman" w:cs="Times New Roman"/>
          <w:sz w:val="24"/>
          <w:szCs w:val="24"/>
        </w:rPr>
        <w:t xml:space="preserve">    </w:t>
      </w:r>
      <w:r w:rsidRPr="00661094">
        <w:rPr>
          <w:rFonts w:ascii="Times New Roman" w:hAnsi="Times New Roman" w:cs="Times New Roman"/>
          <w:sz w:val="24"/>
          <w:szCs w:val="24"/>
        </w:rPr>
        <w:t>Additionally, the Appellant also failed to notify the Respondent</w:t>
      </w:r>
      <w:r w:rsidR="00C95F70">
        <w:rPr>
          <w:rFonts w:ascii="Times New Roman" w:hAnsi="Times New Roman" w:cs="Times New Roman"/>
          <w:sz w:val="24"/>
          <w:szCs w:val="24"/>
        </w:rPr>
        <w:t>s</w:t>
      </w:r>
      <w:r w:rsidRPr="00661094">
        <w:rPr>
          <w:rFonts w:ascii="Times New Roman" w:hAnsi="Times New Roman" w:cs="Times New Roman"/>
          <w:sz w:val="24"/>
          <w:szCs w:val="24"/>
        </w:rPr>
        <w:t xml:space="preserve"> of their right to appeal against the decision to cease to maintain the EHCP, a </w:t>
      </w:r>
      <w:r w:rsidR="00817487" w:rsidRPr="00661094">
        <w:rPr>
          <w:rFonts w:ascii="Times New Roman" w:hAnsi="Times New Roman" w:cs="Times New Roman"/>
          <w:sz w:val="24"/>
          <w:szCs w:val="24"/>
        </w:rPr>
        <w:t xml:space="preserve">further </w:t>
      </w:r>
      <w:r w:rsidRPr="00661094">
        <w:rPr>
          <w:rFonts w:ascii="Times New Roman" w:hAnsi="Times New Roman" w:cs="Times New Roman"/>
          <w:sz w:val="24"/>
          <w:szCs w:val="24"/>
        </w:rPr>
        <w:t xml:space="preserve">breach of the </w:t>
      </w:r>
      <w:r w:rsidR="00BD5A95" w:rsidRPr="00661094">
        <w:rPr>
          <w:rFonts w:ascii="Times New Roman" w:hAnsi="Times New Roman" w:cs="Times New Roman"/>
          <w:sz w:val="24"/>
          <w:szCs w:val="24"/>
        </w:rPr>
        <w:t>SEND</w:t>
      </w:r>
      <w:r w:rsidRPr="00661094">
        <w:rPr>
          <w:rFonts w:ascii="Times New Roman" w:hAnsi="Times New Roman" w:cs="Times New Roman"/>
          <w:sz w:val="24"/>
          <w:szCs w:val="24"/>
        </w:rPr>
        <w:t xml:space="preserve"> Regulations. </w:t>
      </w:r>
    </w:p>
    <w:p w14:paraId="6F0E0913" w14:textId="47BDE179" w:rsidR="000B037C" w:rsidRPr="00661094" w:rsidRDefault="000B037C" w:rsidP="00A574EC">
      <w:pPr>
        <w:pStyle w:val="Indent1"/>
        <w:numPr>
          <w:ilvl w:val="0"/>
          <w:numId w:val="11"/>
        </w:numPr>
        <w:spacing w:line="240" w:lineRule="auto"/>
        <w:rPr>
          <w:rFonts w:ascii="Times New Roman" w:hAnsi="Times New Roman" w:cs="Times New Roman"/>
          <w:sz w:val="24"/>
          <w:szCs w:val="24"/>
        </w:rPr>
      </w:pPr>
      <w:r w:rsidRPr="00661094">
        <w:rPr>
          <w:rFonts w:ascii="Times New Roman" w:hAnsi="Times New Roman" w:cs="Times New Roman"/>
          <w:sz w:val="24"/>
          <w:szCs w:val="24"/>
        </w:rPr>
        <w:t xml:space="preserve">On 19 January 2022 </w:t>
      </w:r>
      <w:r w:rsidR="0036304E" w:rsidRPr="00661094">
        <w:rPr>
          <w:rFonts w:ascii="Times New Roman" w:hAnsi="Times New Roman" w:cs="Times New Roman"/>
          <w:sz w:val="24"/>
          <w:szCs w:val="24"/>
        </w:rPr>
        <w:t>GC</w:t>
      </w:r>
      <w:r w:rsidRPr="00661094">
        <w:rPr>
          <w:rFonts w:ascii="Times New Roman" w:hAnsi="Times New Roman" w:cs="Times New Roman"/>
          <w:sz w:val="24"/>
          <w:szCs w:val="24"/>
        </w:rPr>
        <w:t xml:space="preserve"> received a further letter from the Appellant confirming that “the local authority has now ceased to maintain [T’s EHCP]”.</w:t>
      </w:r>
    </w:p>
    <w:p w14:paraId="087F1AA9" w14:textId="5E409B3C" w:rsidR="000B037C" w:rsidRPr="00661094" w:rsidRDefault="0036304E" w:rsidP="00A574EC">
      <w:pPr>
        <w:pStyle w:val="Indent1"/>
        <w:numPr>
          <w:ilvl w:val="0"/>
          <w:numId w:val="11"/>
        </w:numPr>
        <w:spacing w:line="240" w:lineRule="auto"/>
        <w:rPr>
          <w:rFonts w:ascii="Times New Roman" w:hAnsi="Times New Roman" w:cs="Times New Roman"/>
          <w:sz w:val="24"/>
          <w:szCs w:val="24"/>
        </w:rPr>
      </w:pPr>
      <w:r w:rsidRPr="00661094">
        <w:rPr>
          <w:rFonts w:ascii="Times New Roman" w:hAnsi="Times New Roman" w:cs="Times New Roman"/>
          <w:sz w:val="24"/>
          <w:szCs w:val="24"/>
        </w:rPr>
        <w:t>The Council h</w:t>
      </w:r>
      <w:r w:rsidR="000B037C" w:rsidRPr="00661094">
        <w:rPr>
          <w:rFonts w:ascii="Times New Roman" w:hAnsi="Times New Roman" w:cs="Times New Roman"/>
          <w:sz w:val="24"/>
          <w:szCs w:val="24"/>
        </w:rPr>
        <w:t>ad decided that it was not necessary to maintain the EHCP whi</w:t>
      </w:r>
      <w:r w:rsidR="00C95F70">
        <w:rPr>
          <w:rFonts w:ascii="Times New Roman" w:hAnsi="Times New Roman" w:cs="Times New Roman"/>
          <w:sz w:val="24"/>
          <w:szCs w:val="24"/>
        </w:rPr>
        <w:t>le</w:t>
      </w:r>
      <w:r w:rsidR="00DE3DC1">
        <w:rPr>
          <w:rFonts w:ascii="Times New Roman" w:hAnsi="Times New Roman" w:cs="Times New Roman"/>
          <w:sz w:val="24"/>
          <w:szCs w:val="24"/>
        </w:rPr>
        <w:t xml:space="preserve"> </w:t>
      </w:r>
      <w:r w:rsidR="000B037C" w:rsidRPr="00661094">
        <w:rPr>
          <w:rFonts w:ascii="Times New Roman" w:hAnsi="Times New Roman" w:cs="Times New Roman"/>
          <w:sz w:val="24"/>
          <w:szCs w:val="24"/>
        </w:rPr>
        <w:t>T was not resident in the local authority’s area; and that his needs would have to be reassessed if he returned. They had</w:t>
      </w:r>
      <w:r w:rsidR="00FD523E" w:rsidRPr="00661094">
        <w:rPr>
          <w:rFonts w:ascii="Times New Roman" w:hAnsi="Times New Roman" w:cs="Times New Roman"/>
          <w:sz w:val="24"/>
          <w:szCs w:val="24"/>
        </w:rPr>
        <w:t xml:space="preserve">, however, stated that they were </w:t>
      </w:r>
      <w:r w:rsidR="000B037C" w:rsidRPr="00661094">
        <w:rPr>
          <w:rFonts w:ascii="Times New Roman" w:hAnsi="Times New Roman" w:cs="Times New Roman"/>
          <w:sz w:val="24"/>
          <w:szCs w:val="24"/>
        </w:rPr>
        <w:t>committed to expediting the EHCP reassessment process upon T’s return.</w:t>
      </w:r>
    </w:p>
    <w:p w14:paraId="0F2E8982" w14:textId="34159B70" w:rsidR="000B037C" w:rsidRPr="00661094" w:rsidRDefault="000B037C" w:rsidP="00A574EC">
      <w:pPr>
        <w:pStyle w:val="Indent1"/>
        <w:numPr>
          <w:ilvl w:val="0"/>
          <w:numId w:val="11"/>
        </w:numPr>
        <w:spacing w:line="240" w:lineRule="auto"/>
        <w:rPr>
          <w:rFonts w:ascii="Times New Roman" w:hAnsi="Times New Roman" w:cs="Times New Roman"/>
          <w:sz w:val="24"/>
          <w:szCs w:val="24"/>
        </w:rPr>
      </w:pPr>
      <w:r w:rsidRPr="00661094">
        <w:rPr>
          <w:rFonts w:ascii="Times New Roman" w:hAnsi="Times New Roman" w:cs="Times New Roman"/>
          <w:sz w:val="24"/>
          <w:szCs w:val="24"/>
        </w:rPr>
        <w:t>The Respondents appealed the decision pursuant to s.51(2)(</w:t>
      </w:r>
      <w:r w:rsidR="00094F34">
        <w:rPr>
          <w:rFonts w:ascii="Times New Roman" w:hAnsi="Times New Roman" w:cs="Times New Roman"/>
          <w:sz w:val="24"/>
          <w:szCs w:val="24"/>
        </w:rPr>
        <w:t>f</w:t>
      </w:r>
      <w:r w:rsidRPr="00661094">
        <w:rPr>
          <w:rFonts w:ascii="Times New Roman" w:hAnsi="Times New Roman" w:cs="Times New Roman"/>
          <w:sz w:val="24"/>
          <w:szCs w:val="24"/>
        </w:rPr>
        <w:t xml:space="preserve">) of the </w:t>
      </w:r>
      <w:r w:rsidR="0036304E" w:rsidRPr="00661094">
        <w:rPr>
          <w:rFonts w:ascii="Times New Roman" w:hAnsi="Times New Roman" w:cs="Times New Roman"/>
          <w:sz w:val="24"/>
          <w:szCs w:val="24"/>
        </w:rPr>
        <w:t>2</w:t>
      </w:r>
      <w:r w:rsidRPr="00661094">
        <w:rPr>
          <w:rFonts w:ascii="Times New Roman" w:hAnsi="Times New Roman" w:cs="Times New Roman"/>
          <w:sz w:val="24"/>
          <w:szCs w:val="24"/>
        </w:rPr>
        <w:t>014</w:t>
      </w:r>
      <w:r w:rsidR="0036304E" w:rsidRPr="00661094">
        <w:rPr>
          <w:rFonts w:ascii="Times New Roman" w:hAnsi="Times New Roman" w:cs="Times New Roman"/>
          <w:sz w:val="24"/>
          <w:szCs w:val="24"/>
        </w:rPr>
        <w:t xml:space="preserve"> Act</w:t>
      </w:r>
      <w:r w:rsidRPr="00661094">
        <w:rPr>
          <w:rFonts w:ascii="Times New Roman" w:hAnsi="Times New Roman" w:cs="Times New Roman"/>
          <w:sz w:val="24"/>
          <w:szCs w:val="24"/>
        </w:rPr>
        <w:t xml:space="preserve">. This had the effect of requiring the </w:t>
      </w:r>
      <w:r w:rsidR="0036304E" w:rsidRPr="00661094">
        <w:rPr>
          <w:rFonts w:ascii="Times New Roman" w:hAnsi="Times New Roman" w:cs="Times New Roman"/>
          <w:sz w:val="24"/>
          <w:szCs w:val="24"/>
        </w:rPr>
        <w:t>Council</w:t>
      </w:r>
      <w:r w:rsidRPr="00661094">
        <w:rPr>
          <w:rFonts w:ascii="Times New Roman" w:hAnsi="Times New Roman" w:cs="Times New Roman"/>
          <w:sz w:val="24"/>
          <w:szCs w:val="24"/>
        </w:rPr>
        <w:t xml:space="preserve"> to stay its decision to cease to maintain until the appeal was finally determined. The </w:t>
      </w:r>
      <w:r w:rsidR="0036304E" w:rsidRPr="00661094">
        <w:rPr>
          <w:rFonts w:ascii="Times New Roman" w:hAnsi="Times New Roman" w:cs="Times New Roman"/>
          <w:sz w:val="24"/>
          <w:szCs w:val="24"/>
        </w:rPr>
        <w:t>Council</w:t>
      </w:r>
      <w:r w:rsidRPr="00661094">
        <w:rPr>
          <w:rFonts w:ascii="Times New Roman" w:hAnsi="Times New Roman" w:cs="Times New Roman"/>
          <w:sz w:val="24"/>
          <w:szCs w:val="24"/>
        </w:rPr>
        <w:t xml:space="preserve"> took the position that the parents had no standing to bring an appeal to the Tribunal </w:t>
      </w:r>
      <w:r w:rsidR="00FD523E" w:rsidRPr="00661094">
        <w:rPr>
          <w:rFonts w:ascii="Times New Roman" w:hAnsi="Times New Roman" w:cs="Times New Roman"/>
          <w:sz w:val="24"/>
          <w:szCs w:val="24"/>
        </w:rPr>
        <w:t>and s</w:t>
      </w:r>
      <w:r w:rsidRPr="00661094">
        <w:rPr>
          <w:rFonts w:ascii="Times New Roman" w:hAnsi="Times New Roman" w:cs="Times New Roman"/>
          <w:sz w:val="24"/>
          <w:szCs w:val="24"/>
        </w:rPr>
        <w:t xml:space="preserve">ought to have the appeal struck out. </w:t>
      </w:r>
      <w:r w:rsidR="00FD523E" w:rsidRPr="00661094">
        <w:rPr>
          <w:rFonts w:ascii="Times New Roman" w:hAnsi="Times New Roman" w:cs="Times New Roman"/>
          <w:sz w:val="24"/>
          <w:szCs w:val="24"/>
        </w:rPr>
        <w:t xml:space="preserve">This was refused by order of </w:t>
      </w:r>
      <w:r w:rsidR="0030044A">
        <w:rPr>
          <w:rFonts w:ascii="Times New Roman" w:hAnsi="Times New Roman" w:cs="Times New Roman"/>
          <w:sz w:val="24"/>
          <w:szCs w:val="24"/>
        </w:rPr>
        <w:t>Tribunal</w:t>
      </w:r>
      <w:r w:rsidR="00FD523E" w:rsidRPr="00661094">
        <w:rPr>
          <w:rFonts w:ascii="Times New Roman" w:hAnsi="Times New Roman" w:cs="Times New Roman"/>
          <w:sz w:val="24"/>
          <w:szCs w:val="24"/>
        </w:rPr>
        <w:t xml:space="preserve"> Judge Brownlee on 22 September 2022</w:t>
      </w:r>
      <w:r w:rsidR="00094F34">
        <w:rPr>
          <w:rFonts w:ascii="Times New Roman" w:hAnsi="Times New Roman" w:cs="Times New Roman"/>
          <w:sz w:val="24"/>
          <w:szCs w:val="24"/>
        </w:rPr>
        <w:t>.</w:t>
      </w:r>
    </w:p>
    <w:p w14:paraId="1F47299D" w14:textId="4C4F6842" w:rsidR="00817487" w:rsidRPr="00661094" w:rsidRDefault="000B037C" w:rsidP="00A574EC">
      <w:pPr>
        <w:pStyle w:val="Indent1"/>
        <w:numPr>
          <w:ilvl w:val="0"/>
          <w:numId w:val="11"/>
        </w:numPr>
        <w:spacing w:line="240" w:lineRule="auto"/>
        <w:rPr>
          <w:rFonts w:ascii="Times New Roman" w:hAnsi="Times New Roman" w:cs="Times New Roman"/>
          <w:sz w:val="24"/>
          <w:szCs w:val="24"/>
        </w:rPr>
      </w:pPr>
      <w:r w:rsidRPr="00661094">
        <w:rPr>
          <w:rFonts w:ascii="Times New Roman" w:hAnsi="Times New Roman" w:cs="Times New Roman"/>
          <w:sz w:val="24"/>
          <w:szCs w:val="24"/>
        </w:rPr>
        <w:t xml:space="preserve">A </w:t>
      </w:r>
      <w:r w:rsidR="0036304E" w:rsidRPr="00661094">
        <w:rPr>
          <w:rFonts w:ascii="Times New Roman" w:hAnsi="Times New Roman" w:cs="Times New Roman"/>
          <w:sz w:val="24"/>
          <w:szCs w:val="24"/>
        </w:rPr>
        <w:t>First</w:t>
      </w:r>
      <w:r w:rsidR="00DE3DC1">
        <w:rPr>
          <w:rFonts w:ascii="Times New Roman" w:hAnsi="Times New Roman" w:cs="Times New Roman"/>
          <w:sz w:val="24"/>
          <w:szCs w:val="24"/>
        </w:rPr>
        <w:t>-</w:t>
      </w:r>
      <w:r w:rsidR="0036304E" w:rsidRPr="00661094">
        <w:rPr>
          <w:rFonts w:ascii="Times New Roman" w:hAnsi="Times New Roman" w:cs="Times New Roman"/>
          <w:sz w:val="24"/>
          <w:szCs w:val="24"/>
        </w:rPr>
        <w:t xml:space="preserve">tier </w:t>
      </w:r>
      <w:r w:rsidRPr="00661094">
        <w:rPr>
          <w:rFonts w:ascii="Times New Roman" w:hAnsi="Times New Roman" w:cs="Times New Roman"/>
          <w:sz w:val="24"/>
          <w:szCs w:val="24"/>
        </w:rPr>
        <w:t xml:space="preserve">Tribunal </w:t>
      </w:r>
      <w:r w:rsidR="0036304E" w:rsidRPr="00661094">
        <w:rPr>
          <w:rFonts w:ascii="Times New Roman" w:hAnsi="Times New Roman" w:cs="Times New Roman"/>
          <w:sz w:val="24"/>
          <w:szCs w:val="24"/>
        </w:rPr>
        <w:t>(</w:t>
      </w:r>
      <w:r w:rsidR="002477EA">
        <w:rPr>
          <w:rFonts w:ascii="Times New Roman" w:hAnsi="Times New Roman" w:cs="Times New Roman"/>
          <w:sz w:val="24"/>
          <w:szCs w:val="24"/>
        </w:rPr>
        <w:t>“</w:t>
      </w:r>
      <w:r w:rsidR="0036304E" w:rsidRPr="00661094">
        <w:rPr>
          <w:rFonts w:ascii="Times New Roman" w:hAnsi="Times New Roman" w:cs="Times New Roman"/>
          <w:sz w:val="24"/>
          <w:szCs w:val="24"/>
        </w:rPr>
        <w:t>FTT</w:t>
      </w:r>
      <w:r w:rsidR="002477EA">
        <w:rPr>
          <w:rFonts w:ascii="Times New Roman" w:hAnsi="Times New Roman" w:cs="Times New Roman"/>
          <w:sz w:val="24"/>
          <w:szCs w:val="24"/>
        </w:rPr>
        <w:t>”</w:t>
      </w:r>
      <w:r w:rsidR="0036304E" w:rsidRPr="00661094">
        <w:rPr>
          <w:rFonts w:ascii="Times New Roman" w:hAnsi="Times New Roman" w:cs="Times New Roman"/>
          <w:sz w:val="24"/>
          <w:szCs w:val="24"/>
        </w:rPr>
        <w:t xml:space="preserve">) </w:t>
      </w:r>
      <w:r w:rsidRPr="00661094">
        <w:rPr>
          <w:rFonts w:ascii="Times New Roman" w:hAnsi="Times New Roman" w:cs="Times New Roman"/>
          <w:sz w:val="24"/>
          <w:szCs w:val="24"/>
        </w:rPr>
        <w:t>hearing took place remotely on 20 March 2023 when the family were still in Dubai</w:t>
      </w:r>
      <w:r w:rsidR="00C95F70">
        <w:rPr>
          <w:rFonts w:ascii="Times New Roman" w:hAnsi="Times New Roman" w:cs="Times New Roman"/>
          <w:sz w:val="24"/>
          <w:szCs w:val="24"/>
        </w:rPr>
        <w:t xml:space="preserve">, </w:t>
      </w:r>
      <w:r w:rsidRPr="00661094">
        <w:rPr>
          <w:rFonts w:ascii="Times New Roman" w:hAnsi="Times New Roman" w:cs="Times New Roman"/>
          <w:sz w:val="24"/>
          <w:szCs w:val="24"/>
        </w:rPr>
        <w:t xml:space="preserve">but due to return </w:t>
      </w:r>
      <w:r w:rsidR="0036304E" w:rsidRPr="00661094">
        <w:rPr>
          <w:rFonts w:ascii="Times New Roman" w:hAnsi="Times New Roman" w:cs="Times New Roman"/>
          <w:sz w:val="24"/>
          <w:szCs w:val="24"/>
        </w:rPr>
        <w:t xml:space="preserve">at the end of July </w:t>
      </w:r>
      <w:r w:rsidRPr="00661094">
        <w:rPr>
          <w:rFonts w:ascii="Times New Roman" w:hAnsi="Times New Roman" w:cs="Times New Roman"/>
          <w:sz w:val="24"/>
          <w:szCs w:val="24"/>
        </w:rPr>
        <w:t xml:space="preserve">2023. The Appellant conceded that it had not performed a consultation before ceasing to maintain T’s EHCP and asserted that s.42(2) </w:t>
      </w:r>
      <w:r w:rsidR="00AB78F7">
        <w:rPr>
          <w:rFonts w:ascii="Times New Roman" w:hAnsi="Times New Roman" w:cs="Times New Roman"/>
          <w:sz w:val="24"/>
          <w:szCs w:val="24"/>
        </w:rPr>
        <w:t xml:space="preserve">of the 2014 Act </w:t>
      </w:r>
      <w:r w:rsidRPr="00661094">
        <w:rPr>
          <w:rFonts w:ascii="Times New Roman" w:hAnsi="Times New Roman" w:cs="Times New Roman"/>
          <w:sz w:val="24"/>
          <w:szCs w:val="24"/>
        </w:rPr>
        <w:t>could not be complied with whil</w:t>
      </w:r>
      <w:r w:rsidR="00FE0632" w:rsidRPr="00661094">
        <w:rPr>
          <w:rFonts w:ascii="Times New Roman" w:hAnsi="Times New Roman" w:cs="Times New Roman"/>
          <w:sz w:val="24"/>
          <w:szCs w:val="24"/>
        </w:rPr>
        <w:t>e</w:t>
      </w:r>
      <w:r w:rsidRPr="00661094">
        <w:rPr>
          <w:rFonts w:ascii="Times New Roman" w:hAnsi="Times New Roman" w:cs="Times New Roman"/>
          <w:sz w:val="24"/>
          <w:szCs w:val="24"/>
        </w:rPr>
        <w:t xml:space="preserve"> T was abroad.</w:t>
      </w:r>
    </w:p>
    <w:p w14:paraId="4804131A" w14:textId="5ECCC148" w:rsidR="000B037C" w:rsidRPr="00661094" w:rsidRDefault="000B037C" w:rsidP="00A574EC">
      <w:pPr>
        <w:pStyle w:val="Indent1"/>
        <w:numPr>
          <w:ilvl w:val="0"/>
          <w:numId w:val="11"/>
        </w:numPr>
        <w:spacing w:line="240" w:lineRule="auto"/>
        <w:rPr>
          <w:rFonts w:ascii="Times New Roman" w:hAnsi="Times New Roman" w:cs="Times New Roman"/>
          <w:sz w:val="24"/>
          <w:szCs w:val="24"/>
        </w:rPr>
      </w:pPr>
      <w:r w:rsidRPr="00661094">
        <w:rPr>
          <w:rFonts w:ascii="Times New Roman" w:hAnsi="Times New Roman" w:cs="Times New Roman"/>
          <w:sz w:val="24"/>
          <w:szCs w:val="24"/>
        </w:rPr>
        <w:t xml:space="preserve">At the </w:t>
      </w:r>
      <w:r w:rsidR="00FD523E" w:rsidRPr="00661094">
        <w:rPr>
          <w:rFonts w:ascii="Times New Roman" w:hAnsi="Times New Roman" w:cs="Times New Roman"/>
          <w:sz w:val="24"/>
          <w:szCs w:val="24"/>
        </w:rPr>
        <w:t>outse</w:t>
      </w:r>
      <w:r w:rsidRPr="00661094">
        <w:rPr>
          <w:rFonts w:ascii="Times New Roman" w:hAnsi="Times New Roman" w:cs="Times New Roman"/>
          <w:sz w:val="24"/>
          <w:szCs w:val="24"/>
        </w:rPr>
        <w:t xml:space="preserve">t of the hearing of 20 March 2023 the </w:t>
      </w:r>
      <w:r w:rsidR="00FD523E" w:rsidRPr="00661094">
        <w:rPr>
          <w:rFonts w:ascii="Times New Roman" w:hAnsi="Times New Roman" w:cs="Times New Roman"/>
          <w:sz w:val="24"/>
          <w:szCs w:val="24"/>
        </w:rPr>
        <w:t>Council</w:t>
      </w:r>
      <w:r w:rsidRPr="00661094">
        <w:rPr>
          <w:rFonts w:ascii="Times New Roman" w:hAnsi="Times New Roman" w:cs="Times New Roman"/>
          <w:sz w:val="24"/>
          <w:szCs w:val="24"/>
        </w:rPr>
        <w:t xml:space="preserve"> conceded that the letters sent to the parents did not comply with regulation</w:t>
      </w:r>
      <w:r w:rsidR="00FD523E" w:rsidRPr="00661094">
        <w:rPr>
          <w:rFonts w:ascii="Times New Roman" w:hAnsi="Times New Roman" w:cs="Times New Roman"/>
          <w:sz w:val="24"/>
          <w:szCs w:val="24"/>
        </w:rPr>
        <w:t>s</w:t>
      </w:r>
      <w:r w:rsidRPr="00661094">
        <w:rPr>
          <w:rFonts w:ascii="Times New Roman" w:hAnsi="Times New Roman" w:cs="Times New Roman"/>
          <w:sz w:val="24"/>
          <w:szCs w:val="24"/>
        </w:rPr>
        <w:t xml:space="preserve"> 29 and 31 of </w:t>
      </w:r>
      <w:bookmarkStart w:id="5" w:name="_Hlk218011019"/>
      <w:r w:rsidRPr="00661094">
        <w:rPr>
          <w:rFonts w:ascii="Times New Roman" w:hAnsi="Times New Roman" w:cs="Times New Roman"/>
          <w:sz w:val="24"/>
          <w:szCs w:val="24"/>
        </w:rPr>
        <w:t xml:space="preserve">the </w:t>
      </w:r>
      <w:r w:rsidR="00BD5A95" w:rsidRPr="00661094">
        <w:rPr>
          <w:rFonts w:ascii="Times New Roman" w:hAnsi="Times New Roman" w:cs="Times New Roman"/>
          <w:sz w:val="24"/>
          <w:szCs w:val="24"/>
        </w:rPr>
        <w:t xml:space="preserve">SEND </w:t>
      </w:r>
      <w:r w:rsidRPr="00661094">
        <w:rPr>
          <w:rFonts w:ascii="Times New Roman" w:hAnsi="Times New Roman" w:cs="Times New Roman"/>
          <w:sz w:val="24"/>
          <w:szCs w:val="24"/>
        </w:rPr>
        <w:t>Regulations</w:t>
      </w:r>
      <w:bookmarkEnd w:id="5"/>
      <w:r w:rsidRPr="00661094">
        <w:rPr>
          <w:rFonts w:ascii="Times New Roman" w:hAnsi="Times New Roman" w:cs="Times New Roman"/>
          <w:sz w:val="24"/>
          <w:szCs w:val="24"/>
        </w:rPr>
        <w:t xml:space="preserve">; and that the </w:t>
      </w:r>
      <w:r w:rsidR="00BD5A95" w:rsidRPr="00661094">
        <w:rPr>
          <w:rFonts w:ascii="Times New Roman" w:hAnsi="Times New Roman" w:cs="Times New Roman"/>
          <w:sz w:val="24"/>
          <w:szCs w:val="24"/>
        </w:rPr>
        <w:t>l</w:t>
      </w:r>
      <w:r w:rsidRPr="00661094">
        <w:rPr>
          <w:rFonts w:ascii="Times New Roman" w:hAnsi="Times New Roman" w:cs="Times New Roman"/>
          <w:sz w:val="24"/>
          <w:szCs w:val="24"/>
        </w:rPr>
        <w:t xml:space="preserve">ocal </w:t>
      </w:r>
      <w:r w:rsidR="00BD5A95" w:rsidRPr="00661094">
        <w:rPr>
          <w:rFonts w:ascii="Times New Roman" w:hAnsi="Times New Roman" w:cs="Times New Roman"/>
          <w:sz w:val="24"/>
          <w:szCs w:val="24"/>
        </w:rPr>
        <w:t>a</w:t>
      </w:r>
      <w:r w:rsidRPr="00661094">
        <w:rPr>
          <w:rFonts w:ascii="Times New Roman" w:hAnsi="Times New Roman" w:cs="Times New Roman"/>
          <w:sz w:val="24"/>
          <w:szCs w:val="24"/>
        </w:rPr>
        <w:t xml:space="preserve">uthority </w:t>
      </w:r>
      <w:r w:rsidR="00FD523E" w:rsidRPr="00661094">
        <w:rPr>
          <w:rFonts w:ascii="Times New Roman" w:hAnsi="Times New Roman" w:cs="Times New Roman"/>
          <w:sz w:val="24"/>
          <w:szCs w:val="24"/>
        </w:rPr>
        <w:t>were required to</w:t>
      </w:r>
      <w:r w:rsidRPr="00661094">
        <w:rPr>
          <w:rFonts w:ascii="Times New Roman" w:hAnsi="Times New Roman" w:cs="Times New Roman"/>
          <w:sz w:val="24"/>
          <w:szCs w:val="24"/>
        </w:rPr>
        <w:t xml:space="preserve"> maintain the plan until the appeal against the decision to cease to maintain </w:t>
      </w:r>
      <w:r w:rsidR="00FD523E" w:rsidRPr="00661094">
        <w:rPr>
          <w:rFonts w:ascii="Times New Roman" w:hAnsi="Times New Roman" w:cs="Times New Roman"/>
          <w:sz w:val="24"/>
          <w:szCs w:val="24"/>
        </w:rPr>
        <w:t xml:space="preserve">it </w:t>
      </w:r>
      <w:r w:rsidRPr="00661094">
        <w:rPr>
          <w:rFonts w:ascii="Times New Roman" w:hAnsi="Times New Roman" w:cs="Times New Roman"/>
          <w:sz w:val="24"/>
          <w:szCs w:val="24"/>
        </w:rPr>
        <w:t>had been determined.</w:t>
      </w:r>
    </w:p>
    <w:p w14:paraId="5F5DBAAA" w14:textId="5B186C0B" w:rsidR="000B037C" w:rsidRPr="00661094" w:rsidRDefault="00817487" w:rsidP="00A574EC">
      <w:pPr>
        <w:pStyle w:val="Indent1"/>
        <w:numPr>
          <w:ilvl w:val="0"/>
          <w:numId w:val="11"/>
        </w:numPr>
        <w:spacing w:line="240" w:lineRule="auto"/>
        <w:rPr>
          <w:rFonts w:ascii="Times New Roman" w:hAnsi="Times New Roman" w:cs="Times New Roman"/>
          <w:sz w:val="24"/>
          <w:szCs w:val="24"/>
        </w:rPr>
      </w:pPr>
      <w:r w:rsidRPr="00661094">
        <w:rPr>
          <w:rFonts w:ascii="Times New Roman" w:hAnsi="Times New Roman" w:cs="Times New Roman"/>
          <w:sz w:val="24"/>
          <w:szCs w:val="24"/>
        </w:rPr>
        <w:t>In its decision handed down on 30 March 2023 t</w:t>
      </w:r>
      <w:r w:rsidR="000B037C" w:rsidRPr="00661094">
        <w:rPr>
          <w:rFonts w:ascii="Times New Roman" w:hAnsi="Times New Roman" w:cs="Times New Roman"/>
          <w:sz w:val="24"/>
          <w:szCs w:val="24"/>
        </w:rPr>
        <w:t xml:space="preserve">he </w:t>
      </w:r>
      <w:r w:rsidR="00367247">
        <w:rPr>
          <w:rFonts w:ascii="Times New Roman" w:hAnsi="Times New Roman" w:cs="Times New Roman"/>
          <w:sz w:val="24"/>
          <w:szCs w:val="24"/>
        </w:rPr>
        <w:t>FTT</w:t>
      </w:r>
      <w:r w:rsidR="008A64D0">
        <w:rPr>
          <w:rFonts w:ascii="Times New Roman" w:hAnsi="Times New Roman" w:cs="Times New Roman"/>
          <w:sz w:val="24"/>
          <w:szCs w:val="24"/>
        </w:rPr>
        <w:t xml:space="preserve"> (Tribunal Judge Wenham and Specialist Members </w:t>
      </w:r>
      <w:r w:rsidR="006806BC">
        <w:rPr>
          <w:rFonts w:ascii="Times New Roman" w:hAnsi="Times New Roman" w:cs="Times New Roman"/>
          <w:sz w:val="24"/>
          <w:szCs w:val="24"/>
        </w:rPr>
        <w:t>Markwell and Wood)</w:t>
      </w:r>
      <w:r w:rsidR="000B037C" w:rsidRPr="00661094">
        <w:rPr>
          <w:rFonts w:ascii="Times New Roman" w:hAnsi="Times New Roman" w:cs="Times New Roman"/>
          <w:sz w:val="24"/>
          <w:szCs w:val="24"/>
        </w:rPr>
        <w:t xml:space="preserve"> </w:t>
      </w:r>
      <w:r w:rsidR="006806BC">
        <w:rPr>
          <w:rFonts w:ascii="Times New Roman" w:hAnsi="Times New Roman" w:cs="Times New Roman"/>
          <w:sz w:val="24"/>
          <w:szCs w:val="24"/>
        </w:rPr>
        <w:t>stat</w:t>
      </w:r>
      <w:r w:rsidR="00C95F70">
        <w:rPr>
          <w:rFonts w:ascii="Times New Roman" w:hAnsi="Times New Roman" w:cs="Times New Roman"/>
          <w:sz w:val="24"/>
          <w:szCs w:val="24"/>
        </w:rPr>
        <w:t>ed</w:t>
      </w:r>
      <w:r w:rsidR="006806BC">
        <w:rPr>
          <w:rFonts w:ascii="Times New Roman" w:hAnsi="Times New Roman" w:cs="Times New Roman"/>
          <w:sz w:val="24"/>
          <w:szCs w:val="24"/>
        </w:rPr>
        <w:t>:</w:t>
      </w:r>
      <w:r w:rsidR="000B037C" w:rsidRPr="00661094">
        <w:rPr>
          <w:rFonts w:ascii="Times New Roman" w:hAnsi="Times New Roman" w:cs="Times New Roman"/>
          <w:sz w:val="24"/>
          <w:szCs w:val="24"/>
        </w:rPr>
        <w:t xml:space="preserve"> </w:t>
      </w:r>
    </w:p>
    <w:p w14:paraId="29CEED04" w14:textId="74AB68AB" w:rsidR="000B037C" w:rsidRPr="00661094" w:rsidRDefault="006E58F5" w:rsidP="00A574EC">
      <w:pPr>
        <w:pStyle w:val="Quote"/>
        <w:rPr>
          <w:i/>
          <w:iCs/>
        </w:rPr>
      </w:pPr>
      <w:r>
        <w:rPr>
          <w:b/>
        </w:rPr>
        <w:t>“</w:t>
      </w:r>
      <w:r w:rsidR="000B037C" w:rsidRPr="00661094">
        <w:rPr>
          <w:b/>
        </w:rPr>
        <w:t>[24].</w:t>
      </w:r>
      <w:r w:rsidR="000B037C" w:rsidRPr="00661094">
        <w:t xml:space="preserve"> The LA conceded in the hearing on 20 March 2023 that they have not correctly followed that procedure. We find, that having made that concession, the LA should also have conceded the appeal, because it is mandatory that they comply with reg.31 and they have not. Having failed to comply with the mandatory requirements of reg. 31, the LA cannot cease to maintain T’s EHCP, even at the conclusion of this appeal. </w:t>
      </w:r>
    </w:p>
    <w:p w14:paraId="02678374" w14:textId="77777777" w:rsidR="000B037C" w:rsidRPr="00661094" w:rsidRDefault="000B037C" w:rsidP="00A574EC">
      <w:pPr>
        <w:pStyle w:val="Quote"/>
        <w:rPr>
          <w:i/>
          <w:iCs/>
        </w:rPr>
      </w:pPr>
      <w:r w:rsidRPr="00661094">
        <w:rPr>
          <w:b/>
        </w:rPr>
        <w:t>[25].</w:t>
      </w:r>
      <w:r w:rsidRPr="00661094">
        <w:t xml:space="preserve"> We need go no further in deciding the merits of the appeal in these circumstances. […]</w:t>
      </w:r>
    </w:p>
    <w:p w14:paraId="582ABA2D" w14:textId="77777777" w:rsidR="000B037C" w:rsidRPr="00661094" w:rsidRDefault="000B037C" w:rsidP="00A574EC">
      <w:pPr>
        <w:pStyle w:val="Quote"/>
        <w:rPr>
          <w:i/>
          <w:iCs/>
        </w:rPr>
      </w:pPr>
      <w:r w:rsidRPr="00661094">
        <w:rPr>
          <w:b/>
        </w:rPr>
        <w:t>[26].</w:t>
      </w:r>
      <w:r w:rsidRPr="00661094">
        <w:t xml:space="preserve"> For the LA to cease to maintain [T]’s EHCP, in circumstances where he is expected to return to the UK, would be to put him at a significant disadvantage to children or young people who simply move between local authorities within the UK. In order for the LA to act consistently with 10.55 of the Code of Practice, we find that they should not cease to maintain </w:t>
      </w:r>
      <w:r w:rsidRPr="00661094">
        <w:lastRenderedPageBreak/>
        <w:t>T’s EHCP, but instead should implement a “freezing” or “pausing” of his EHCP. It is self-evident that the LA cannot comply with its duty to secure the provision in Section F of T’s EHCP whilst he attends school in Dubai, but to require [him] to commence the process of applying for an EHCP afresh on the family’s return to the UK, may well result in T being without the provision he requires for a considerable portion of that academic year. A process where all parties are agreed that the EHCP is frozen for a period of time is a proportionate response to mitigate the disadvantage T would otherwise suffer as a Service child.</w:t>
      </w:r>
    </w:p>
    <w:p w14:paraId="7A3543A9" w14:textId="77777777" w:rsidR="000B037C" w:rsidRPr="00661094" w:rsidRDefault="000B037C" w:rsidP="00A574EC">
      <w:pPr>
        <w:pStyle w:val="Quote"/>
        <w:rPr>
          <w:i/>
          <w:iCs/>
        </w:rPr>
      </w:pPr>
      <w:r w:rsidRPr="00661094">
        <w:rPr>
          <w:b/>
        </w:rPr>
        <w:t>[27].</w:t>
      </w:r>
      <w:r w:rsidRPr="00661094">
        <w:t xml:space="preserve"> The LA has made an offer that they will commit to providing T with the funding previously in place under his EHCP until a new EHCP process could be completed. However, this would place T at significant disadvantage, due to the fact that [his father], as Service Personnel, may yet be posted to a different LA in the UK, and T would have to start the EHCP application process in that new LA with no guarantee of funding in the meantime. If, however, the LA “freezes” T’s EHCP, then it would be transferred to the new LA pursuant to Reg. 15. </w:t>
      </w:r>
    </w:p>
    <w:p w14:paraId="6C7F37C2" w14:textId="31028D8C" w:rsidR="000B037C" w:rsidRPr="00661094" w:rsidRDefault="000B037C" w:rsidP="00A574EC">
      <w:pPr>
        <w:pStyle w:val="Quote"/>
        <w:rPr>
          <w:i/>
          <w:iCs/>
        </w:rPr>
      </w:pPr>
      <w:r w:rsidRPr="00661094">
        <w:rPr>
          <w:b/>
        </w:rPr>
        <w:t>[28].</w:t>
      </w:r>
      <w:r w:rsidRPr="00661094">
        <w:t xml:space="preserve"> Therefore, we have concluded that Hampshire County Council may not cease to maintain T’s EHCP.”</w:t>
      </w:r>
    </w:p>
    <w:p w14:paraId="678AEFC8" w14:textId="77777777" w:rsidR="000B037C" w:rsidRPr="00661094" w:rsidRDefault="000B037C" w:rsidP="00A574EC"/>
    <w:p w14:paraId="672A0224" w14:textId="7EC1EFD3" w:rsidR="00FD523E" w:rsidRPr="00661094" w:rsidRDefault="00FD523E" w:rsidP="00A574EC">
      <w:pPr>
        <w:pStyle w:val="Indent1"/>
        <w:numPr>
          <w:ilvl w:val="0"/>
          <w:numId w:val="11"/>
        </w:numPr>
        <w:spacing w:line="240" w:lineRule="auto"/>
        <w:rPr>
          <w:rFonts w:ascii="Times New Roman" w:hAnsi="Times New Roman" w:cs="Times New Roman"/>
          <w:sz w:val="24"/>
          <w:szCs w:val="24"/>
        </w:rPr>
      </w:pPr>
      <w:r w:rsidRPr="00661094">
        <w:rPr>
          <w:rFonts w:ascii="Times New Roman" w:hAnsi="Times New Roman" w:cs="Times New Roman"/>
          <w:sz w:val="24"/>
          <w:szCs w:val="24"/>
        </w:rPr>
        <w:t xml:space="preserve">On 26 July 2023 the FTT </w:t>
      </w:r>
      <w:r w:rsidR="001023B2">
        <w:rPr>
          <w:rFonts w:ascii="Times New Roman" w:hAnsi="Times New Roman" w:cs="Times New Roman"/>
          <w:sz w:val="24"/>
          <w:szCs w:val="24"/>
        </w:rPr>
        <w:t>(</w:t>
      </w:r>
      <w:r w:rsidR="008540DC">
        <w:rPr>
          <w:rFonts w:ascii="Times New Roman" w:hAnsi="Times New Roman" w:cs="Times New Roman"/>
          <w:sz w:val="24"/>
          <w:szCs w:val="24"/>
        </w:rPr>
        <w:t xml:space="preserve">Tribunal Judge Ozen) </w:t>
      </w:r>
      <w:r w:rsidRPr="00661094">
        <w:rPr>
          <w:rFonts w:ascii="Times New Roman" w:hAnsi="Times New Roman" w:cs="Times New Roman"/>
          <w:sz w:val="24"/>
          <w:szCs w:val="24"/>
        </w:rPr>
        <w:t xml:space="preserve">granted permission to appeal.  </w:t>
      </w:r>
    </w:p>
    <w:p w14:paraId="6FA580B6" w14:textId="77777777" w:rsidR="00FD523E" w:rsidRPr="00661094" w:rsidRDefault="00FD523E" w:rsidP="00A574EC">
      <w:pPr>
        <w:pStyle w:val="Indent1"/>
        <w:numPr>
          <w:ilvl w:val="0"/>
          <w:numId w:val="11"/>
        </w:numPr>
        <w:spacing w:line="240" w:lineRule="auto"/>
        <w:rPr>
          <w:rFonts w:ascii="Times New Roman" w:hAnsi="Times New Roman" w:cs="Times New Roman"/>
          <w:sz w:val="24"/>
          <w:szCs w:val="24"/>
        </w:rPr>
      </w:pPr>
      <w:r w:rsidRPr="00661094">
        <w:rPr>
          <w:rFonts w:ascii="Times New Roman" w:hAnsi="Times New Roman" w:cs="Times New Roman"/>
          <w:sz w:val="24"/>
          <w:szCs w:val="24"/>
        </w:rPr>
        <w:t xml:space="preserve">Meanwhile </w:t>
      </w:r>
      <w:r w:rsidR="00817487" w:rsidRPr="00661094">
        <w:rPr>
          <w:rFonts w:ascii="Times New Roman" w:hAnsi="Times New Roman" w:cs="Times New Roman"/>
          <w:sz w:val="24"/>
          <w:szCs w:val="24"/>
        </w:rPr>
        <w:t xml:space="preserve">GC’s deployment </w:t>
      </w:r>
      <w:r w:rsidRPr="00661094">
        <w:rPr>
          <w:rFonts w:ascii="Times New Roman" w:hAnsi="Times New Roman" w:cs="Times New Roman"/>
          <w:sz w:val="24"/>
          <w:szCs w:val="24"/>
        </w:rPr>
        <w:t xml:space="preserve">had </w:t>
      </w:r>
      <w:r w:rsidR="00817487" w:rsidRPr="00661094">
        <w:rPr>
          <w:rFonts w:ascii="Times New Roman" w:hAnsi="Times New Roman" w:cs="Times New Roman"/>
          <w:sz w:val="24"/>
          <w:szCs w:val="24"/>
        </w:rPr>
        <w:t xml:space="preserve">ended early, and the family </w:t>
      </w:r>
      <w:r w:rsidRPr="00661094">
        <w:rPr>
          <w:rFonts w:ascii="Times New Roman" w:hAnsi="Times New Roman" w:cs="Times New Roman"/>
          <w:sz w:val="24"/>
          <w:szCs w:val="24"/>
        </w:rPr>
        <w:t xml:space="preserve">had </w:t>
      </w:r>
      <w:r w:rsidR="00817487" w:rsidRPr="00661094">
        <w:rPr>
          <w:rFonts w:ascii="Times New Roman" w:hAnsi="Times New Roman" w:cs="Times New Roman"/>
          <w:sz w:val="24"/>
          <w:szCs w:val="24"/>
        </w:rPr>
        <w:t xml:space="preserve">returned to the UK on 16 July 2023. The Navy paid for rental accommodation in the Appellant’s area while the family waited to reclaim their house from the tenants. </w:t>
      </w:r>
    </w:p>
    <w:p w14:paraId="694F152D" w14:textId="57B429CF" w:rsidR="00E06EFF" w:rsidRPr="0054079C" w:rsidRDefault="00817487" w:rsidP="00A574EC">
      <w:pPr>
        <w:pStyle w:val="Indent1"/>
        <w:numPr>
          <w:ilvl w:val="0"/>
          <w:numId w:val="11"/>
        </w:numPr>
        <w:spacing w:line="240" w:lineRule="auto"/>
        <w:rPr>
          <w:rFonts w:ascii="Times New Roman" w:hAnsi="Times New Roman" w:cs="Times New Roman"/>
          <w:sz w:val="24"/>
          <w:szCs w:val="24"/>
        </w:rPr>
      </w:pPr>
      <w:r w:rsidRPr="00661094">
        <w:rPr>
          <w:rFonts w:ascii="Times New Roman" w:hAnsi="Times New Roman" w:cs="Times New Roman"/>
          <w:sz w:val="24"/>
          <w:szCs w:val="24"/>
        </w:rPr>
        <w:t xml:space="preserve">In September 2023 a </w:t>
      </w:r>
      <w:r w:rsidR="003B3DA4">
        <w:rPr>
          <w:rFonts w:ascii="Times New Roman" w:hAnsi="Times New Roman" w:cs="Times New Roman"/>
          <w:sz w:val="24"/>
          <w:szCs w:val="24"/>
        </w:rPr>
        <w:t>fresh</w:t>
      </w:r>
      <w:r w:rsidRPr="00661094">
        <w:rPr>
          <w:rFonts w:ascii="Times New Roman" w:hAnsi="Times New Roman" w:cs="Times New Roman"/>
          <w:sz w:val="24"/>
          <w:szCs w:val="24"/>
        </w:rPr>
        <w:t xml:space="preserve"> EHCP was issued for T at his new mainstream junior school.</w:t>
      </w:r>
      <w:r w:rsidR="00FD523E" w:rsidRPr="00661094">
        <w:rPr>
          <w:rFonts w:ascii="Times New Roman" w:hAnsi="Times New Roman" w:cs="Times New Roman"/>
          <w:sz w:val="24"/>
          <w:szCs w:val="24"/>
        </w:rPr>
        <w:t xml:space="preserve"> Nevertheless, when the appeal came before Upper Tribunal </w:t>
      </w:r>
      <w:r w:rsidR="00DB602B" w:rsidRPr="00661094">
        <w:rPr>
          <w:rFonts w:ascii="Times New Roman" w:hAnsi="Times New Roman" w:cs="Times New Roman"/>
          <w:sz w:val="24"/>
          <w:szCs w:val="24"/>
        </w:rPr>
        <w:t xml:space="preserve">Judge West </w:t>
      </w:r>
      <w:r w:rsidR="00424C21">
        <w:rPr>
          <w:rFonts w:ascii="Times New Roman" w:hAnsi="Times New Roman" w:cs="Times New Roman"/>
          <w:sz w:val="24"/>
          <w:szCs w:val="24"/>
        </w:rPr>
        <w:t xml:space="preserve">(“the Judge”) </w:t>
      </w:r>
      <w:r w:rsidR="00E06EFF" w:rsidRPr="00661094">
        <w:rPr>
          <w:rFonts w:ascii="Times New Roman" w:hAnsi="Times New Roman" w:cs="Times New Roman"/>
          <w:sz w:val="24"/>
          <w:szCs w:val="24"/>
        </w:rPr>
        <w:t>b</w:t>
      </w:r>
      <w:r w:rsidR="000B037C" w:rsidRPr="00661094">
        <w:rPr>
          <w:rFonts w:ascii="Times New Roman" w:hAnsi="Times New Roman" w:cs="Times New Roman"/>
          <w:sz w:val="24"/>
          <w:szCs w:val="24"/>
        </w:rPr>
        <w:t xml:space="preserve">oth sides agreed that </w:t>
      </w:r>
      <w:r w:rsidR="00516E44">
        <w:rPr>
          <w:rFonts w:ascii="Times New Roman" w:hAnsi="Times New Roman" w:cs="Times New Roman"/>
          <w:sz w:val="24"/>
          <w:szCs w:val="24"/>
        </w:rPr>
        <w:t>he</w:t>
      </w:r>
      <w:r w:rsidR="000B037C" w:rsidRPr="0054079C">
        <w:rPr>
          <w:rFonts w:ascii="Times New Roman" w:hAnsi="Times New Roman" w:cs="Times New Roman"/>
          <w:sz w:val="24"/>
          <w:szCs w:val="24"/>
        </w:rPr>
        <w:t xml:space="preserve"> should hear the appeal because the issues involved were likely to be of general importance in other cases concerning service personnel </w:t>
      </w:r>
      <w:r w:rsidR="005515C6">
        <w:rPr>
          <w:rFonts w:ascii="Times New Roman" w:hAnsi="Times New Roman" w:cs="Times New Roman"/>
          <w:sz w:val="24"/>
          <w:szCs w:val="24"/>
        </w:rPr>
        <w:t xml:space="preserve">with </w:t>
      </w:r>
      <w:r w:rsidR="000B037C" w:rsidRPr="0054079C">
        <w:rPr>
          <w:rFonts w:ascii="Times New Roman" w:hAnsi="Times New Roman" w:cs="Times New Roman"/>
          <w:sz w:val="24"/>
          <w:szCs w:val="24"/>
        </w:rPr>
        <w:t>families</w:t>
      </w:r>
      <w:r w:rsidR="00FC130B" w:rsidRPr="0054079C">
        <w:rPr>
          <w:rFonts w:ascii="Times New Roman" w:hAnsi="Times New Roman" w:cs="Times New Roman"/>
          <w:sz w:val="24"/>
          <w:szCs w:val="24"/>
        </w:rPr>
        <w:t>,</w:t>
      </w:r>
      <w:r w:rsidR="000B037C" w:rsidRPr="0054079C">
        <w:rPr>
          <w:rFonts w:ascii="Times New Roman" w:hAnsi="Times New Roman" w:cs="Times New Roman"/>
          <w:sz w:val="24"/>
          <w:szCs w:val="24"/>
        </w:rPr>
        <w:t xml:space="preserve"> and to local authorities with duties towards the children of such families</w:t>
      </w:r>
      <w:r w:rsidR="000B037C" w:rsidRPr="0054079C">
        <w:rPr>
          <w:rFonts w:ascii="Times New Roman" w:hAnsi="Times New Roman" w:cs="Times New Roman"/>
          <w:b/>
          <w:bCs/>
          <w:sz w:val="24"/>
          <w:szCs w:val="24"/>
        </w:rPr>
        <w:t>.</w:t>
      </w:r>
    </w:p>
    <w:p w14:paraId="5D1674E1" w14:textId="1881D31B" w:rsidR="000B037C" w:rsidRPr="00661094" w:rsidRDefault="000B037C" w:rsidP="00A574EC">
      <w:pPr>
        <w:pStyle w:val="Indent1"/>
        <w:numPr>
          <w:ilvl w:val="0"/>
          <w:numId w:val="11"/>
        </w:numPr>
        <w:spacing w:line="240" w:lineRule="auto"/>
        <w:rPr>
          <w:rFonts w:ascii="Times New Roman" w:hAnsi="Times New Roman" w:cs="Times New Roman"/>
          <w:sz w:val="24"/>
          <w:szCs w:val="24"/>
        </w:rPr>
      </w:pPr>
      <w:r w:rsidRPr="00661094">
        <w:rPr>
          <w:rFonts w:ascii="Times New Roman" w:hAnsi="Times New Roman" w:cs="Times New Roman"/>
          <w:sz w:val="24"/>
          <w:szCs w:val="24"/>
        </w:rPr>
        <w:t>At the request of the Judge, Mr Line</w:t>
      </w:r>
      <w:r w:rsidR="00E06EFF" w:rsidRPr="00661094">
        <w:rPr>
          <w:rFonts w:ascii="Times New Roman" w:hAnsi="Times New Roman" w:cs="Times New Roman"/>
          <w:sz w:val="24"/>
          <w:szCs w:val="24"/>
        </w:rPr>
        <w:t>, who acted for the Council then as he has before us,</w:t>
      </w:r>
      <w:r w:rsidRPr="00661094">
        <w:rPr>
          <w:rFonts w:ascii="Times New Roman" w:hAnsi="Times New Roman" w:cs="Times New Roman"/>
          <w:sz w:val="24"/>
          <w:szCs w:val="24"/>
        </w:rPr>
        <w:t xml:space="preserve"> </w:t>
      </w:r>
      <w:r w:rsidR="00E06EFF" w:rsidRPr="00661094">
        <w:rPr>
          <w:rFonts w:ascii="Times New Roman" w:hAnsi="Times New Roman" w:cs="Times New Roman"/>
          <w:sz w:val="24"/>
          <w:szCs w:val="24"/>
        </w:rPr>
        <w:t xml:space="preserve">stated that the Council were aware of </w:t>
      </w:r>
      <w:r w:rsidRPr="00661094">
        <w:rPr>
          <w:rFonts w:ascii="Times New Roman" w:hAnsi="Times New Roman" w:cs="Times New Roman"/>
          <w:sz w:val="24"/>
          <w:szCs w:val="24"/>
        </w:rPr>
        <w:t>6180 service children</w:t>
      </w:r>
      <w:r w:rsidR="00654C91" w:rsidRPr="00661094">
        <w:rPr>
          <w:rFonts w:ascii="Times New Roman" w:hAnsi="Times New Roman" w:cs="Times New Roman"/>
          <w:sz w:val="24"/>
          <w:szCs w:val="24"/>
        </w:rPr>
        <w:t xml:space="preserve"> in the county</w:t>
      </w:r>
      <w:r w:rsidRPr="00661094">
        <w:rPr>
          <w:rFonts w:ascii="Times New Roman" w:hAnsi="Times New Roman" w:cs="Times New Roman"/>
          <w:sz w:val="24"/>
          <w:szCs w:val="24"/>
        </w:rPr>
        <w:t>, of whom 309 had an EHCP.</w:t>
      </w:r>
      <w:r w:rsidR="00E06EFF" w:rsidRPr="00661094">
        <w:rPr>
          <w:rFonts w:ascii="Times New Roman" w:hAnsi="Times New Roman" w:cs="Times New Roman"/>
          <w:sz w:val="24"/>
          <w:szCs w:val="24"/>
        </w:rPr>
        <w:t xml:space="preserve"> </w:t>
      </w:r>
      <w:r w:rsidRPr="00661094">
        <w:rPr>
          <w:rFonts w:ascii="Times New Roman" w:hAnsi="Times New Roman" w:cs="Times New Roman"/>
          <w:sz w:val="24"/>
          <w:szCs w:val="24"/>
        </w:rPr>
        <w:t>Mr Line confirmed that, at that time, there were no service families living abroad with an EHCP maintained by the local authority, and that in the past when service families had moved abroad the Council had ceased to maintain the EHCP.</w:t>
      </w:r>
    </w:p>
    <w:p w14:paraId="3C520F32" w14:textId="5E155757" w:rsidR="00E06EFF" w:rsidRDefault="002477EA" w:rsidP="00A574EC">
      <w:pPr>
        <w:pStyle w:val="Indent1"/>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The judge</w:t>
      </w:r>
      <w:r w:rsidR="00E06EFF">
        <w:rPr>
          <w:rFonts w:ascii="Times New Roman" w:hAnsi="Times New Roman" w:cs="Times New Roman"/>
          <w:sz w:val="24"/>
          <w:szCs w:val="24"/>
        </w:rPr>
        <w:t xml:space="preserve"> </w:t>
      </w:r>
      <w:r w:rsidR="000B037C" w:rsidRPr="00A93FEF">
        <w:rPr>
          <w:rFonts w:ascii="Times New Roman" w:hAnsi="Times New Roman" w:cs="Times New Roman"/>
          <w:sz w:val="24"/>
          <w:szCs w:val="24"/>
        </w:rPr>
        <w:t xml:space="preserve">was </w:t>
      </w:r>
      <w:r w:rsidR="00E06EFF">
        <w:rPr>
          <w:rFonts w:ascii="Times New Roman" w:hAnsi="Times New Roman" w:cs="Times New Roman"/>
          <w:sz w:val="24"/>
          <w:szCs w:val="24"/>
        </w:rPr>
        <w:t xml:space="preserve">severely critical of Hampshire’s procedural failings. He said that he was </w:t>
      </w:r>
      <w:r w:rsidR="000B037C" w:rsidRPr="00E06EFF">
        <w:rPr>
          <w:rFonts w:ascii="Times New Roman" w:hAnsi="Times New Roman" w:cs="Times New Roman"/>
          <w:sz w:val="24"/>
          <w:szCs w:val="24"/>
        </w:rPr>
        <w:t xml:space="preserve">satisfied that the Council </w:t>
      </w:r>
      <w:r w:rsidR="000B1952">
        <w:rPr>
          <w:rFonts w:ascii="Times New Roman" w:hAnsi="Times New Roman" w:cs="Times New Roman"/>
          <w:sz w:val="24"/>
          <w:szCs w:val="24"/>
        </w:rPr>
        <w:t xml:space="preserve">had </w:t>
      </w:r>
      <w:r w:rsidR="000B037C" w:rsidRPr="00E06EFF">
        <w:rPr>
          <w:rFonts w:ascii="Times New Roman" w:hAnsi="Times New Roman" w:cs="Times New Roman"/>
          <w:sz w:val="24"/>
          <w:szCs w:val="24"/>
        </w:rPr>
        <w:t xml:space="preserve">committed </w:t>
      </w:r>
      <w:r w:rsidR="00AE0FCB">
        <w:rPr>
          <w:rFonts w:ascii="Times New Roman" w:hAnsi="Times New Roman" w:cs="Times New Roman"/>
          <w:sz w:val="24"/>
          <w:szCs w:val="24"/>
        </w:rPr>
        <w:t>“</w:t>
      </w:r>
      <w:r w:rsidR="000B037C" w:rsidRPr="00E06EFF">
        <w:rPr>
          <w:rFonts w:ascii="Times New Roman" w:hAnsi="Times New Roman" w:cs="Times New Roman"/>
          <w:sz w:val="24"/>
          <w:szCs w:val="24"/>
        </w:rPr>
        <w:t>egregious and manifest breaches</w:t>
      </w:r>
      <w:r w:rsidR="00AE0FCB">
        <w:rPr>
          <w:rFonts w:ascii="Times New Roman" w:hAnsi="Times New Roman" w:cs="Times New Roman"/>
          <w:sz w:val="24"/>
          <w:szCs w:val="24"/>
        </w:rPr>
        <w:t>”</w:t>
      </w:r>
      <w:r w:rsidR="000B037C" w:rsidRPr="00E06EFF">
        <w:rPr>
          <w:rFonts w:ascii="Times New Roman" w:hAnsi="Times New Roman" w:cs="Times New Roman"/>
          <w:sz w:val="24"/>
          <w:szCs w:val="24"/>
        </w:rPr>
        <w:t xml:space="preserve"> of reg 31 of the </w:t>
      </w:r>
      <w:r>
        <w:rPr>
          <w:rFonts w:ascii="Times New Roman" w:hAnsi="Times New Roman" w:cs="Times New Roman"/>
          <w:sz w:val="24"/>
          <w:szCs w:val="24"/>
        </w:rPr>
        <w:t>SEND</w:t>
      </w:r>
      <w:r w:rsidR="000B037C" w:rsidRPr="00E06EFF">
        <w:rPr>
          <w:rFonts w:ascii="Times New Roman" w:hAnsi="Times New Roman" w:cs="Times New Roman"/>
          <w:sz w:val="24"/>
          <w:szCs w:val="24"/>
        </w:rPr>
        <w:t xml:space="preserve"> Regulations</w:t>
      </w:r>
      <w:r w:rsidR="000B037C" w:rsidRPr="00A93FEF">
        <w:rPr>
          <w:rFonts w:ascii="Times New Roman" w:hAnsi="Times New Roman" w:cs="Times New Roman"/>
          <w:sz w:val="24"/>
          <w:szCs w:val="24"/>
        </w:rPr>
        <w:t xml:space="preserve"> by not consulting with T’s parents as required by reg 31(1)(b); nor with the head teacher of T’</w:t>
      </w:r>
      <w:r w:rsidR="000403C3">
        <w:rPr>
          <w:rFonts w:ascii="Times New Roman" w:hAnsi="Times New Roman" w:cs="Times New Roman"/>
          <w:sz w:val="24"/>
          <w:szCs w:val="24"/>
        </w:rPr>
        <w:t>s p</w:t>
      </w:r>
      <w:r w:rsidR="000B037C" w:rsidRPr="00A93FEF">
        <w:rPr>
          <w:rFonts w:ascii="Times New Roman" w:hAnsi="Times New Roman" w:cs="Times New Roman"/>
          <w:sz w:val="24"/>
          <w:szCs w:val="24"/>
        </w:rPr>
        <w:t xml:space="preserve">rimary </w:t>
      </w:r>
      <w:r w:rsidR="000403C3">
        <w:rPr>
          <w:rFonts w:ascii="Times New Roman" w:hAnsi="Times New Roman" w:cs="Times New Roman"/>
          <w:sz w:val="24"/>
          <w:szCs w:val="24"/>
        </w:rPr>
        <w:t>s</w:t>
      </w:r>
      <w:r w:rsidR="000B037C" w:rsidRPr="00A93FEF">
        <w:rPr>
          <w:rFonts w:ascii="Times New Roman" w:hAnsi="Times New Roman" w:cs="Times New Roman"/>
          <w:sz w:val="24"/>
          <w:szCs w:val="24"/>
        </w:rPr>
        <w:t xml:space="preserve">chool; and by not notifying T’s parents or head teacher of their right to appeal </w:t>
      </w:r>
      <w:r w:rsidR="000B1952">
        <w:rPr>
          <w:rFonts w:ascii="Times New Roman" w:hAnsi="Times New Roman" w:cs="Times New Roman"/>
          <w:sz w:val="24"/>
          <w:szCs w:val="24"/>
        </w:rPr>
        <w:t xml:space="preserve">against </w:t>
      </w:r>
      <w:r w:rsidR="000B037C" w:rsidRPr="00A93FEF">
        <w:rPr>
          <w:rFonts w:ascii="Times New Roman" w:hAnsi="Times New Roman" w:cs="Times New Roman"/>
          <w:sz w:val="24"/>
          <w:szCs w:val="24"/>
        </w:rPr>
        <w:t xml:space="preserve">the decision (nor the time limits for doing so; nor information concerning mediation; nor other matters required by regulation 31(3)). At [159] the Judge wrote, </w:t>
      </w:r>
      <w:r w:rsidR="000B037C" w:rsidRPr="00E06EFF">
        <w:rPr>
          <w:rFonts w:ascii="Times New Roman" w:hAnsi="Times New Roman" w:cs="Times New Roman"/>
          <w:sz w:val="24"/>
          <w:szCs w:val="24"/>
        </w:rPr>
        <w:t>“It is difficult to conceive of a more obvious and blatant case of a failure to comply with the requirements of regulation</w:t>
      </w:r>
      <w:r w:rsidR="00E06EFF" w:rsidRPr="00E06EFF">
        <w:rPr>
          <w:rFonts w:ascii="Times New Roman" w:hAnsi="Times New Roman" w:cs="Times New Roman"/>
          <w:sz w:val="24"/>
          <w:szCs w:val="24"/>
        </w:rPr>
        <w:t xml:space="preserve"> 31</w:t>
      </w:r>
      <w:r w:rsidR="000B037C" w:rsidRPr="00A93FEF">
        <w:rPr>
          <w:rFonts w:ascii="Times New Roman" w:hAnsi="Times New Roman" w:cs="Times New Roman"/>
          <w:sz w:val="24"/>
          <w:szCs w:val="24"/>
        </w:rPr>
        <w:t>.</w:t>
      </w:r>
      <w:r w:rsidR="00E06EFF">
        <w:rPr>
          <w:rFonts w:ascii="Times New Roman" w:hAnsi="Times New Roman" w:cs="Times New Roman"/>
          <w:sz w:val="24"/>
          <w:szCs w:val="24"/>
        </w:rPr>
        <w:t>”</w:t>
      </w:r>
      <w:r w:rsidR="000B037C" w:rsidRPr="00A93FEF">
        <w:rPr>
          <w:rFonts w:ascii="Times New Roman" w:hAnsi="Times New Roman" w:cs="Times New Roman"/>
          <w:sz w:val="24"/>
          <w:szCs w:val="24"/>
        </w:rPr>
        <w:t xml:space="preserve"> </w:t>
      </w:r>
    </w:p>
    <w:p w14:paraId="418EB7E6" w14:textId="72FAAD76" w:rsidR="000B037C" w:rsidRPr="00A93FEF"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 xml:space="preserve">The Judge accepted the parents’ submissions about the mandatory nature of the obligations and the consequences of a failure to comply. </w:t>
      </w:r>
      <w:r w:rsidR="00E06EFF">
        <w:rPr>
          <w:rFonts w:ascii="Times New Roman" w:hAnsi="Times New Roman" w:cs="Times New Roman"/>
          <w:sz w:val="24"/>
          <w:szCs w:val="24"/>
        </w:rPr>
        <w:t>He</w:t>
      </w:r>
      <w:r w:rsidRPr="00A93FEF">
        <w:rPr>
          <w:rFonts w:ascii="Times New Roman" w:hAnsi="Times New Roman" w:cs="Times New Roman"/>
          <w:sz w:val="24"/>
          <w:szCs w:val="24"/>
        </w:rPr>
        <w:t xml:space="preserve"> held:</w:t>
      </w:r>
    </w:p>
    <w:p w14:paraId="1B31DC6E" w14:textId="386B9B1F" w:rsidR="000B037C" w:rsidRPr="005E79A6" w:rsidRDefault="006E58F5" w:rsidP="00A574EC">
      <w:pPr>
        <w:pStyle w:val="Quote"/>
        <w:rPr>
          <w:i/>
          <w:iCs/>
        </w:rPr>
      </w:pPr>
      <w:r>
        <w:rPr>
          <w:b/>
        </w:rPr>
        <w:t>“</w:t>
      </w:r>
      <w:r w:rsidR="000B037C" w:rsidRPr="005E79A6">
        <w:rPr>
          <w:b/>
        </w:rPr>
        <w:t>[162].</w:t>
      </w:r>
      <w:r w:rsidR="000B037C" w:rsidRPr="005E79A6">
        <w:t xml:space="preserve"> It follows that a decision to cease to maintain an EHCP under s.45(1) of the 2014 </w:t>
      </w:r>
      <w:r w:rsidR="000B037C" w:rsidRPr="000B1952">
        <w:t>will be invalid</w:t>
      </w:r>
      <w:r w:rsidR="000B037C" w:rsidRPr="005E79A6">
        <w:t xml:space="preserve"> if it is taken in breach of the mandatory requirements of regulation 31 of the 2014 </w:t>
      </w:r>
      <w:r w:rsidR="00F10CBD">
        <w:t>[Act]</w:t>
      </w:r>
      <w:r w:rsidR="000B037C" w:rsidRPr="005E79A6">
        <w:t>. I leave open for another case the question whether, in circumstances where the parents have participated in a significant consultation process and have been provided with substantially all of the requisite information and have therefore suffered no prejudice, minor infringements of regulation 31 might not invalidate the subsequent s.45(1) decision, but that is plainly not this case.”</w:t>
      </w:r>
    </w:p>
    <w:p w14:paraId="1B0C1DC7" w14:textId="7569B3C5" w:rsidR="000B037C" w:rsidRPr="00FC4702"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 xml:space="preserve">The Judge rejected the </w:t>
      </w:r>
      <w:r w:rsidR="00E06EFF">
        <w:rPr>
          <w:rFonts w:ascii="Times New Roman" w:hAnsi="Times New Roman" w:cs="Times New Roman"/>
          <w:sz w:val="24"/>
          <w:szCs w:val="24"/>
        </w:rPr>
        <w:t>l</w:t>
      </w:r>
      <w:r w:rsidRPr="00A93FEF">
        <w:rPr>
          <w:rFonts w:ascii="Times New Roman" w:hAnsi="Times New Roman" w:cs="Times New Roman"/>
          <w:sz w:val="24"/>
          <w:szCs w:val="24"/>
        </w:rPr>
        <w:t xml:space="preserve">ocal </w:t>
      </w:r>
      <w:r w:rsidR="00E06EFF">
        <w:rPr>
          <w:rFonts w:ascii="Times New Roman" w:hAnsi="Times New Roman" w:cs="Times New Roman"/>
          <w:sz w:val="24"/>
          <w:szCs w:val="24"/>
        </w:rPr>
        <w:t>a</w:t>
      </w:r>
      <w:r w:rsidRPr="00A93FEF">
        <w:rPr>
          <w:rFonts w:ascii="Times New Roman" w:hAnsi="Times New Roman" w:cs="Times New Roman"/>
          <w:sz w:val="24"/>
          <w:szCs w:val="24"/>
        </w:rPr>
        <w:t xml:space="preserve">uthority’s argument that the Tribunal had no jurisdiction to determine whether or not there had been a breach of regulation 31. </w:t>
      </w:r>
    </w:p>
    <w:p w14:paraId="33B2487D" w14:textId="77777777" w:rsidR="000B037C" w:rsidRPr="00A93FEF"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At [199] the Judge held:</w:t>
      </w:r>
    </w:p>
    <w:p w14:paraId="5993AF29" w14:textId="007DFA1F" w:rsidR="000B037C" w:rsidRPr="00C370B6" w:rsidRDefault="006E58F5" w:rsidP="00A574EC">
      <w:pPr>
        <w:pStyle w:val="Quote"/>
        <w:rPr>
          <w:i/>
          <w:iCs/>
        </w:rPr>
      </w:pPr>
      <w:r>
        <w:rPr>
          <w:b/>
        </w:rPr>
        <w:t>“</w:t>
      </w:r>
      <w:r w:rsidR="000B037C" w:rsidRPr="00C370B6">
        <w:rPr>
          <w:b/>
        </w:rPr>
        <w:t>[199].</w:t>
      </w:r>
      <w:r w:rsidR="000B037C" w:rsidRPr="00C370B6">
        <w:t xml:space="preserve"> I am satisfied that the provision in s.24 of the 2014 Act which stipulates that, when a local authority is responsible for a child “in the authority’s area” who has been identified by the authority as someone who has, or may have, special educational needs, that includes a person who is ordinarily or habitually resident in that area, but is temporarily absent by virtue of </w:t>
      </w:r>
      <w:r w:rsidR="00D95C21">
        <w:t xml:space="preserve">[his] </w:t>
      </w:r>
      <w:r w:rsidR="000B037C" w:rsidRPr="00C370B6">
        <w:t>parent’s overseas deployment as a part of the armed forces of the Crown. It follows that if a child or young person is ordinarily or habitually resident “in the authority’s area”, notwithstanding such temporary absence elsewhere, the local authority remains responsible for the child or young person and may not therefore cease to maintain the child’s EHCP on the basis that it cannot comply with s.45(1)(a) and demonstrate that it “is no longer responsible” for the child or young person. In summary, s.24 of the 2014 Act imports an ordinary or habitual residence test, as Mr Gillie contended, rather than a presence test, as Mr Line contended.</w:t>
      </w:r>
      <w:r w:rsidR="000B1952">
        <w:t>”</w:t>
      </w:r>
    </w:p>
    <w:p w14:paraId="11B3AA3D" w14:textId="48D44AA5" w:rsidR="000B037C" w:rsidRPr="00A93FEF"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The Judge also considered the speeches of Lady Hale DPSC and Lord Hug</w:t>
      </w:r>
      <w:r w:rsidR="00386FE7">
        <w:rPr>
          <w:rFonts w:ascii="Times New Roman" w:hAnsi="Times New Roman" w:cs="Times New Roman"/>
          <w:sz w:val="24"/>
          <w:szCs w:val="24"/>
        </w:rPr>
        <w:t>h</w:t>
      </w:r>
      <w:r w:rsidRPr="00A93FEF">
        <w:rPr>
          <w:rFonts w:ascii="Times New Roman" w:hAnsi="Times New Roman" w:cs="Times New Roman"/>
          <w:sz w:val="24"/>
          <w:szCs w:val="24"/>
        </w:rPr>
        <w:t>es JSC in</w:t>
      </w:r>
      <w:r w:rsidR="000B1952">
        <w:rPr>
          <w:rFonts w:ascii="Times New Roman" w:hAnsi="Times New Roman" w:cs="Times New Roman"/>
          <w:sz w:val="24"/>
          <w:szCs w:val="24"/>
        </w:rPr>
        <w:t xml:space="preserve"> </w:t>
      </w:r>
      <w:r w:rsidR="000B1952">
        <w:rPr>
          <w:rFonts w:ascii="Times New Roman" w:hAnsi="Times New Roman" w:cs="Times New Roman"/>
          <w:i/>
          <w:iCs/>
          <w:sz w:val="24"/>
          <w:szCs w:val="24"/>
        </w:rPr>
        <w:t>A v A (Children: Habitual Residence</w:t>
      </w:r>
      <w:r w:rsidR="00ED46E2">
        <w:rPr>
          <w:rFonts w:ascii="Times New Roman" w:hAnsi="Times New Roman" w:cs="Times New Roman"/>
          <w:i/>
          <w:iCs/>
          <w:sz w:val="24"/>
          <w:szCs w:val="24"/>
        </w:rPr>
        <w:t xml:space="preserve">) </w:t>
      </w:r>
      <w:r w:rsidR="00ED46E2">
        <w:rPr>
          <w:rFonts w:ascii="Times New Roman" w:hAnsi="Times New Roman" w:cs="Times New Roman"/>
          <w:sz w:val="24"/>
          <w:szCs w:val="24"/>
        </w:rPr>
        <w:t xml:space="preserve">[2013] UKSC 60; [2014] AC 1. </w:t>
      </w:r>
      <w:r w:rsidRPr="00A93FEF">
        <w:rPr>
          <w:rFonts w:ascii="Times New Roman" w:hAnsi="Times New Roman" w:cs="Times New Roman"/>
          <w:sz w:val="24"/>
          <w:szCs w:val="24"/>
        </w:rPr>
        <w:t xml:space="preserve">At [224] the Judge </w:t>
      </w:r>
      <w:r w:rsidR="00EE3A1F">
        <w:rPr>
          <w:rFonts w:ascii="Times New Roman" w:hAnsi="Times New Roman" w:cs="Times New Roman"/>
          <w:sz w:val="24"/>
          <w:szCs w:val="24"/>
        </w:rPr>
        <w:t>sai</w:t>
      </w:r>
      <w:r w:rsidRPr="00A93FEF">
        <w:rPr>
          <w:rFonts w:ascii="Times New Roman" w:hAnsi="Times New Roman" w:cs="Times New Roman"/>
          <w:sz w:val="24"/>
          <w:szCs w:val="24"/>
        </w:rPr>
        <w:t>d:</w:t>
      </w:r>
    </w:p>
    <w:p w14:paraId="3496A0AE" w14:textId="71225890" w:rsidR="000B037C" w:rsidRPr="00C370B6" w:rsidRDefault="006E58F5" w:rsidP="00A574EC">
      <w:pPr>
        <w:pStyle w:val="Quote"/>
        <w:rPr>
          <w:i/>
          <w:iCs/>
        </w:rPr>
      </w:pPr>
      <w:r>
        <w:rPr>
          <w:b/>
        </w:rPr>
        <w:t>“</w:t>
      </w:r>
      <w:r w:rsidR="000B037C" w:rsidRPr="00C370B6">
        <w:rPr>
          <w:b/>
        </w:rPr>
        <w:t>[224].</w:t>
      </w:r>
      <w:r w:rsidR="000B037C" w:rsidRPr="00C370B6">
        <w:t xml:space="preserve"> As a general rule, a child will share the habitual residence of his parents with whom he lives and there is no reason why that general rule should not apply in the present case. In particular, I note what Lord Hughes said </w:t>
      </w:r>
      <w:r w:rsidR="00ED46E2">
        <w:t>………</w:t>
      </w:r>
      <w:r w:rsidR="000B037C" w:rsidRPr="00C370B6">
        <w:t>namely that, in order to distinguish habitual residence from mere temporary presence, the former must as a general rule have a certain duration which reflects an adequate degree of permanence, although the law does not lay down any minimum duration. However, before habitual residence can be transferred to the host state, it is of paramount importance that the person concerned has it in mind to establish there the permanent or habitual centre of his interests, with the intention that it should be of a lasting character. Accordingly, the duration of a stay can serve only as an indicator in the assessment of the permanence of the residence and that assessment must be carried out in the light of all the circumstances of fact specific to the individual case.</w:t>
      </w:r>
      <w:r>
        <w:t>”</w:t>
      </w:r>
    </w:p>
    <w:p w14:paraId="119F07BC" w14:textId="2EAFF8A5" w:rsidR="000B037C" w:rsidRPr="00A93FEF"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The Jud</w:t>
      </w:r>
      <w:r w:rsidR="00ED46E2">
        <w:rPr>
          <w:rFonts w:ascii="Times New Roman" w:hAnsi="Times New Roman" w:cs="Times New Roman"/>
          <w:sz w:val="24"/>
          <w:szCs w:val="24"/>
        </w:rPr>
        <w:t>g</w:t>
      </w:r>
      <w:r w:rsidRPr="00A93FEF">
        <w:rPr>
          <w:rFonts w:ascii="Times New Roman" w:hAnsi="Times New Roman" w:cs="Times New Roman"/>
          <w:sz w:val="24"/>
          <w:szCs w:val="24"/>
        </w:rPr>
        <w:t xml:space="preserve">e held, applying this, that although </w:t>
      </w:r>
      <w:r w:rsidR="00386FE7">
        <w:rPr>
          <w:rFonts w:ascii="Times New Roman" w:hAnsi="Times New Roman" w:cs="Times New Roman"/>
          <w:sz w:val="24"/>
          <w:szCs w:val="24"/>
        </w:rPr>
        <w:t xml:space="preserve">at the relevant time </w:t>
      </w:r>
      <w:r w:rsidRPr="00A93FEF">
        <w:rPr>
          <w:rFonts w:ascii="Times New Roman" w:hAnsi="Times New Roman" w:cs="Times New Roman"/>
          <w:sz w:val="24"/>
          <w:szCs w:val="24"/>
        </w:rPr>
        <w:t xml:space="preserve">T and his family were physically present in Dubai, the other relevant factors to be taken into account indicated that their ordinary or habitual residence was in Hampshire, and that their presence in Dubai was temporary and of a circumscribed duration. </w:t>
      </w:r>
    </w:p>
    <w:p w14:paraId="1CF86694" w14:textId="53FF2CF7" w:rsidR="000B037C" w:rsidRPr="00963197" w:rsidRDefault="006E58F5" w:rsidP="00A574EC">
      <w:pPr>
        <w:pStyle w:val="Quote"/>
        <w:rPr>
          <w:i/>
          <w:iCs/>
        </w:rPr>
      </w:pPr>
      <w:r>
        <w:rPr>
          <w:b/>
        </w:rPr>
        <w:t>“</w:t>
      </w:r>
      <w:r w:rsidR="000B037C" w:rsidRPr="00963197">
        <w:rPr>
          <w:b/>
        </w:rPr>
        <w:t>[226]</w:t>
      </w:r>
      <w:r w:rsidR="000B037C" w:rsidRPr="00963197">
        <w:t xml:space="preserve"> […]The duration, conditions and reasons for the stay in Dubai and for the family’s move there on service deployment all demonstrate that he remained ordinarily or habitually resident in Hampshire, and thus within the Council’s area. […]”.</w:t>
      </w:r>
    </w:p>
    <w:p w14:paraId="008406D9" w14:textId="77777777" w:rsidR="000B037C" w:rsidRPr="00A93FEF"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 xml:space="preserve">The Judge also rejected the submission that the FTT had approached its task as if it were subjecting the Council’s decision to review as opposed to a </w:t>
      </w:r>
      <w:r w:rsidRPr="00A93FEF">
        <w:rPr>
          <w:rFonts w:ascii="Times New Roman" w:hAnsi="Times New Roman" w:cs="Times New Roman"/>
          <w:i/>
          <w:iCs/>
          <w:sz w:val="24"/>
          <w:szCs w:val="24"/>
        </w:rPr>
        <w:t xml:space="preserve">de novo </w:t>
      </w:r>
      <w:r w:rsidRPr="00A93FEF">
        <w:rPr>
          <w:rFonts w:ascii="Times New Roman" w:hAnsi="Times New Roman" w:cs="Times New Roman"/>
          <w:sz w:val="24"/>
          <w:szCs w:val="24"/>
        </w:rPr>
        <w:t>appeal. At [229] the Judge found that the FTT had been:</w:t>
      </w:r>
    </w:p>
    <w:p w14:paraId="64076675" w14:textId="77777777" w:rsidR="000B037C" w:rsidRPr="00963197" w:rsidRDefault="000B037C" w:rsidP="00A574EC">
      <w:pPr>
        <w:pStyle w:val="Quote"/>
        <w:rPr>
          <w:i/>
          <w:iCs/>
        </w:rPr>
      </w:pPr>
      <w:r w:rsidRPr="00963197">
        <w:t>“deciding an appeal which had been brought before it as the appropriate statutory tribunal pursuant to s.51 of the 2014 Act against one of the matters listed in subsection (2), namely (f) a decision by a local authority to cease to maintain an EHCP for a child or young person.”</w:t>
      </w:r>
    </w:p>
    <w:p w14:paraId="0AF2761E" w14:textId="5F385713" w:rsidR="000B037C" w:rsidRPr="00A93FEF"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 xml:space="preserve">The argument that the </w:t>
      </w:r>
      <w:r w:rsidR="00963197">
        <w:rPr>
          <w:rFonts w:ascii="Times New Roman" w:hAnsi="Times New Roman" w:cs="Times New Roman"/>
          <w:sz w:val="24"/>
          <w:szCs w:val="24"/>
        </w:rPr>
        <w:t>FTT</w:t>
      </w:r>
      <w:r w:rsidRPr="00A93FEF">
        <w:rPr>
          <w:rFonts w:ascii="Times New Roman" w:hAnsi="Times New Roman" w:cs="Times New Roman"/>
          <w:sz w:val="24"/>
          <w:szCs w:val="24"/>
        </w:rPr>
        <w:t xml:space="preserve"> had relied on procedural irregularity </w:t>
      </w:r>
      <w:r w:rsidR="00ED46E2">
        <w:rPr>
          <w:rFonts w:ascii="Times New Roman" w:hAnsi="Times New Roman" w:cs="Times New Roman"/>
          <w:sz w:val="24"/>
          <w:szCs w:val="24"/>
        </w:rPr>
        <w:t>as</w:t>
      </w:r>
      <w:r w:rsidRPr="00A93FEF">
        <w:rPr>
          <w:rFonts w:ascii="Times New Roman" w:hAnsi="Times New Roman" w:cs="Times New Roman"/>
          <w:sz w:val="24"/>
          <w:szCs w:val="24"/>
        </w:rPr>
        <w:t xml:space="preserve"> the basis of upholding the appeal did not mean that it was illegitimately performing a quasi-judicial review outside</w:t>
      </w:r>
      <w:r w:rsidR="00ED46E2">
        <w:rPr>
          <w:rFonts w:ascii="Times New Roman" w:hAnsi="Times New Roman" w:cs="Times New Roman"/>
          <w:sz w:val="24"/>
          <w:szCs w:val="24"/>
        </w:rPr>
        <w:t xml:space="preserve"> </w:t>
      </w:r>
      <w:r w:rsidRPr="00A93FEF">
        <w:rPr>
          <w:rFonts w:ascii="Times New Roman" w:hAnsi="Times New Roman" w:cs="Times New Roman"/>
          <w:sz w:val="24"/>
          <w:szCs w:val="24"/>
        </w:rPr>
        <w:t xml:space="preserve">the scope of its jurisdiction. It simply meant that the </w:t>
      </w:r>
      <w:r w:rsidR="00386FE7">
        <w:rPr>
          <w:rFonts w:ascii="Times New Roman" w:hAnsi="Times New Roman" w:cs="Times New Roman"/>
          <w:sz w:val="24"/>
          <w:szCs w:val="24"/>
        </w:rPr>
        <w:t xml:space="preserve">Council’s defence </w:t>
      </w:r>
      <w:r w:rsidRPr="00A93FEF">
        <w:rPr>
          <w:rFonts w:ascii="Times New Roman" w:hAnsi="Times New Roman" w:cs="Times New Roman"/>
          <w:sz w:val="24"/>
          <w:szCs w:val="24"/>
        </w:rPr>
        <w:t>had failed on a preliminary point, and thus there was no need to continue to examine the substantive merits [231].</w:t>
      </w:r>
    </w:p>
    <w:p w14:paraId="12AA1326" w14:textId="227C142C" w:rsidR="000B037C" w:rsidRPr="00A93FEF"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 xml:space="preserve">The Judge also rejected </w:t>
      </w:r>
      <w:r w:rsidR="00ED46E2">
        <w:rPr>
          <w:rFonts w:ascii="Times New Roman" w:hAnsi="Times New Roman" w:cs="Times New Roman"/>
          <w:sz w:val="24"/>
          <w:szCs w:val="24"/>
        </w:rPr>
        <w:t xml:space="preserve">at [241] </w:t>
      </w:r>
      <w:r w:rsidR="00545437">
        <w:rPr>
          <w:rFonts w:ascii="Times New Roman" w:hAnsi="Times New Roman" w:cs="Times New Roman"/>
          <w:sz w:val="24"/>
          <w:szCs w:val="24"/>
        </w:rPr>
        <w:t>a</w:t>
      </w:r>
      <w:r w:rsidRPr="00A93FEF">
        <w:rPr>
          <w:rFonts w:ascii="Times New Roman" w:hAnsi="Times New Roman" w:cs="Times New Roman"/>
          <w:sz w:val="24"/>
          <w:szCs w:val="24"/>
        </w:rPr>
        <w:t xml:space="preserve"> submission that the Tribunal’s decision should be struck down for perversity.</w:t>
      </w:r>
    </w:p>
    <w:p w14:paraId="21AD5FC4" w14:textId="5B266B63" w:rsidR="000B037C" w:rsidRPr="00A93FEF" w:rsidRDefault="00413528" w:rsidP="00A574EC">
      <w:pPr>
        <w:pStyle w:val="Indent1"/>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The Judge</w:t>
      </w:r>
      <w:r w:rsidR="000B037C" w:rsidRPr="00A93FEF">
        <w:rPr>
          <w:rFonts w:ascii="Times New Roman" w:hAnsi="Times New Roman" w:cs="Times New Roman"/>
          <w:sz w:val="24"/>
          <w:szCs w:val="24"/>
        </w:rPr>
        <w:t xml:space="preserve"> accepted the submissions of the parents that T would be placed at a disadvantage compared to children who moved between local authorities in the UK. </w:t>
      </w:r>
      <w:r w:rsidR="004D587D">
        <w:rPr>
          <w:rFonts w:ascii="Times New Roman" w:hAnsi="Times New Roman" w:cs="Times New Roman"/>
          <w:sz w:val="24"/>
          <w:szCs w:val="24"/>
        </w:rPr>
        <w:t>The Judge</w:t>
      </w:r>
      <w:r w:rsidR="000B037C" w:rsidRPr="00A93FEF">
        <w:rPr>
          <w:rFonts w:ascii="Times New Roman" w:hAnsi="Times New Roman" w:cs="Times New Roman"/>
          <w:sz w:val="24"/>
          <w:szCs w:val="24"/>
        </w:rPr>
        <w:t xml:space="preserve"> identified a risk that T would be without provision for a considerable portion of the academic year if he </w:t>
      </w:r>
      <w:r w:rsidR="00386FE7">
        <w:rPr>
          <w:rFonts w:ascii="Times New Roman" w:hAnsi="Times New Roman" w:cs="Times New Roman"/>
          <w:sz w:val="24"/>
          <w:szCs w:val="24"/>
        </w:rPr>
        <w:t>had been</w:t>
      </w:r>
      <w:r w:rsidR="000B037C" w:rsidRPr="00A93FEF">
        <w:rPr>
          <w:rFonts w:ascii="Times New Roman" w:hAnsi="Times New Roman" w:cs="Times New Roman"/>
          <w:sz w:val="24"/>
          <w:szCs w:val="24"/>
        </w:rPr>
        <w:t xml:space="preserve"> required to reapply for an EHCP upon the family’s return to the UK. The fact that the Council had provided assurances about equivalent funding pending a fresh assessment did not wholly ameliorate the disadvantage as the father might be posted to a different area of the UK and T would </w:t>
      </w:r>
      <w:r w:rsidR="00386FE7">
        <w:rPr>
          <w:rFonts w:ascii="Times New Roman" w:hAnsi="Times New Roman" w:cs="Times New Roman"/>
          <w:sz w:val="24"/>
          <w:szCs w:val="24"/>
        </w:rPr>
        <w:t xml:space="preserve">then </w:t>
      </w:r>
      <w:r w:rsidR="000B037C" w:rsidRPr="00A93FEF">
        <w:rPr>
          <w:rFonts w:ascii="Times New Roman" w:hAnsi="Times New Roman" w:cs="Times New Roman"/>
          <w:sz w:val="24"/>
          <w:szCs w:val="24"/>
        </w:rPr>
        <w:t>have to start the EHCP application process in the new area.</w:t>
      </w:r>
    </w:p>
    <w:p w14:paraId="133F9635" w14:textId="6BF2AAE6" w:rsidR="000B037C" w:rsidRPr="00A93FEF"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At [244] the</w:t>
      </w:r>
      <w:r w:rsidR="00386FE7">
        <w:rPr>
          <w:rFonts w:ascii="Times New Roman" w:hAnsi="Times New Roman" w:cs="Times New Roman"/>
          <w:sz w:val="24"/>
          <w:szCs w:val="24"/>
        </w:rPr>
        <w:t xml:space="preserve"> Judge</w:t>
      </w:r>
      <w:r w:rsidRPr="00A93FEF">
        <w:rPr>
          <w:rFonts w:ascii="Times New Roman" w:hAnsi="Times New Roman" w:cs="Times New Roman"/>
          <w:sz w:val="24"/>
          <w:szCs w:val="24"/>
        </w:rPr>
        <w:t xml:space="preserve"> acknowledged that the words ‘freezing’ or ‘pausing’ </w:t>
      </w:r>
      <w:r w:rsidR="00ED46E2">
        <w:rPr>
          <w:rFonts w:ascii="Times New Roman" w:hAnsi="Times New Roman" w:cs="Times New Roman"/>
          <w:sz w:val="24"/>
          <w:szCs w:val="24"/>
        </w:rPr>
        <w:t xml:space="preserve">used by the FTT </w:t>
      </w:r>
      <w:r w:rsidRPr="00A93FEF">
        <w:rPr>
          <w:rFonts w:ascii="Times New Roman" w:hAnsi="Times New Roman" w:cs="Times New Roman"/>
          <w:sz w:val="24"/>
          <w:szCs w:val="24"/>
        </w:rPr>
        <w:t>d</w:t>
      </w:r>
      <w:r w:rsidR="00BA38F9">
        <w:rPr>
          <w:rFonts w:ascii="Times New Roman" w:hAnsi="Times New Roman" w:cs="Times New Roman"/>
          <w:sz w:val="24"/>
          <w:szCs w:val="24"/>
        </w:rPr>
        <w:t>o</w:t>
      </w:r>
      <w:r w:rsidRPr="00A93FEF">
        <w:rPr>
          <w:rFonts w:ascii="Times New Roman" w:hAnsi="Times New Roman" w:cs="Times New Roman"/>
          <w:sz w:val="24"/>
          <w:szCs w:val="24"/>
        </w:rPr>
        <w:t xml:space="preserve"> not appear in the 2014 Act or subordinate regulations</w:t>
      </w:r>
      <w:r w:rsidR="00BA38F9">
        <w:rPr>
          <w:rFonts w:ascii="Times New Roman" w:hAnsi="Times New Roman" w:cs="Times New Roman"/>
          <w:sz w:val="24"/>
          <w:szCs w:val="24"/>
        </w:rPr>
        <w:t xml:space="preserve">, </w:t>
      </w:r>
      <w:r w:rsidRPr="00A93FEF">
        <w:rPr>
          <w:rFonts w:ascii="Times New Roman" w:hAnsi="Times New Roman" w:cs="Times New Roman"/>
          <w:sz w:val="24"/>
          <w:szCs w:val="24"/>
        </w:rPr>
        <w:t xml:space="preserve">but </w:t>
      </w:r>
      <w:r w:rsidR="000A1580">
        <w:rPr>
          <w:rFonts w:ascii="Times New Roman" w:hAnsi="Times New Roman" w:cs="Times New Roman"/>
          <w:sz w:val="24"/>
          <w:szCs w:val="24"/>
        </w:rPr>
        <w:t xml:space="preserve">nevertheless </w:t>
      </w:r>
      <w:r w:rsidR="00BA38F9">
        <w:rPr>
          <w:rFonts w:ascii="Times New Roman" w:hAnsi="Times New Roman" w:cs="Times New Roman"/>
          <w:sz w:val="24"/>
          <w:szCs w:val="24"/>
        </w:rPr>
        <w:t xml:space="preserve">he </w:t>
      </w:r>
      <w:r w:rsidRPr="00A93FEF">
        <w:rPr>
          <w:rFonts w:ascii="Times New Roman" w:hAnsi="Times New Roman" w:cs="Times New Roman"/>
          <w:sz w:val="24"/>
          <w:szCs w:val="24"/>
        </w:rPr>
        <w:t xml:space="preserve">upheld the FTT’s decision. </w:t>
      </w:r>
      <w:r w:rsidR="00335769">
        <w:rPr>
          <w:rFonts w:ascii="Times New Roman" w:hAnsi="Times New Roman" w:cs="Times New Roman"/>
          <w:sz w:val="24"/>
          <w:szCs w:val="24"/>
        </w:rPr>
        <w:t>T</w:t>
      </w:r>
      <w:r w:rsidRPr="00A93FEF">
        <w:rPr>
          <w:rFonts w:ascii="Times New Roman" w:hAnsi="Times New Roman" w:cs="Times New Roman"/>
          <w:sz w:val="24"/>
          <w:szCs w:val="24"/>
        </w:rPr>
        <w:t xml:space="preserve">he </w:t>
      </w:r>
      <w:r w:rsidR="000A1580">
        <w:rPr>
          <w:rFonts w:ascii="Times New Roman" w:hAnsi="Times New Roman" w:cs="Times New Roman"/>
          <w:sz w:val="24"/>
          <w:szCs w:val="24"/>
        </w:rPr>
        <w:t>Judge</w:t>
      </w:r>
      <w:r w:rsidRPr="00A93FEF">
        <w:rPr>
          <w:rFonts w:ascii="Times New Roman" w:hAnsi="Times New Roman" w:cs="Times New Roman"/>
          <w:sz w:val="24"/>
          <w:szCs w:val="24"/>
        </w:rPr>
        <w:t xml:space="preserve"> was satisfied that a </w:t>
      </w:r>
      <w:r w:rsidR="000667DA">
        <w:rPr>
          <w:rFonts w:ascii="Times New Roman" w:hAnsi="Times New Roman" w:cs="Times New Roman"/>
          <w:sz w:val="24"/>
          <w:szCs w:val="24"/>
        </w:rPr>
        <w:t>l</w:t>
      </w:r>
      <w:r w:rsidRPr="00A93FEF">
        <w:rPr>
          <w:rFonts w:ascii="Times New Roman" w:hAnsi="Times New Roman" w:cs="Times New Roman"/>
          <w:sz w:val="24"/>
          <w:szCs w:val="24"/>
        </w:rPr>
        <w:t xml:space="preserve">ocal </w:t>
      </w:r>
      <w:r w:rsidR="000667DA">
        <w:rPr>
          <w:rFonts w:ascii="Times New Roman" w:hAnsi="Times New Roman" w:cs="Times New Roman"/>
          <w:sz w:val="24"/>
          <w:szCs w:val="24"/>
        </w:rPr>
        <w:t>a</w:t>
      </w:r>
      <w:r w:rsidRPr="00A93FEF">
        <w:rPr>
          <w:rFonts w:ascii="Times New Roman" w:hAnsi="Times New Roman" w:cs="Times New Roman"/>
          <w:sz w:val="24"/>
          <w:szCs w:val="24"/>
        </w:rPr>
        <w:t>uthority was permitted under the 2014 Act to maintain an EHCP in the circumstances of the case</w:t>
      </w:r>
      <w:r w:rsidR="00216D8C" w:rsidRPr="00216D8C">
        <w:rPr>
          <w:rFonts w:ascii="Times New Roman" w:hAnsi="Times New Roman" w:cs="Times New Roman"/>
          <w:sz w:val="24"/>
          <w:szCs w:val="24"/>
        </w:rPr>
        <w:t xml:space="preserve"> </w:t>
      </w:r>
      <w:r w:rsidR="00216D8C" w:rsidRPr="00A93FEF">
        <w:rPr>
          <w:rFonts w:ascii="Times New Roman" w:hAnsi="Times New Roman" w:cs="Times New Roman"/>
          <w:sz w:val="24"/>
          <w:szCs w:val="24"/>
        </w:rPr>
        <w:t>without breaching its statutory duty</w:t>
      </w:r>
      <w:r w:rsidRPr="00A93FEF">
        <w:rPr>
          <w:rFonts w:ascii="Times New Roman" w:hAnsi="Times New Roman" w:cs="Times New Roman"/>
          <w:sz w:val="24"/>
          <w:szCs w:val="24"/>
        </w:rPr>
        <w:t>:</w:t>
      </w:r>
    </w:p>
    <w:p w14:paraId="097224FB" w14:textId="0CC134C7" w:rsidR="000B037C" w:rsidRPr="000667DA" w:rsidRDefault="006E58F5" w:rsidP="00A574EC">
      <w:pPr>
        <w:pStyle w:val="Quote"/>
        <w:rPr>
          <w:i/>
          <w:iCs/>
        </w:rPr>
      </w:pPr>
      <w:r>
        <w:t>“</w:t>
      </w:r>
      <w:r w:rsidR="000B037C" w:rsidRPr="000667DA">
        <w:t>[245] Mr Line raised the spectre of the local authority being placed in breach of statutory duty by the Tribunal’s decision, but it seems to me that the reality is that no action would, or could sensibly, be taken by a child’s parents against the local authority in circumstances such as these if it simply maintained the status quo pending the family’s return to the UK at the end of the deployment and that the problem which Mr Line sought to raise was in reality something of a chimera.</w:t>
      </w:r>
      <w:r>
        <w:t>”</w:t>
      </w:r>
    </w:p>
    <w:p w14:paraId="00DB496C" w14:textId="036248A3" w:rsidR="000B037C" w:rsidRPr="00F1212D"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 xml:space="preserve">The </w:t>
      </w:r>
      <w:r w:rsidR="00D5035C">
        <w:rPr>
          <w:rFonts w:ascii="Times New Roman" w:hAnsi="Times New Roman" w:cs="Times New Roman"/>
          <w:sz w:val="24"/>
          <w:szCs w:val="24"/>
        </w:rPr>
        <w:t>Judge</w:t>
      </w:r>
      <w:r w:rsidRPr="00A93FEF">
        <w:rPr>
          <w:rFonts w:ascii="Times New Roman" w:hAnsi="Times New Roman" w:cs="Times New Roman"/>
          <w:sz w:val="24"/>
          <w:szCs w:val="24"/>
        </w:rPr>
        <w:t xml:space="preserve"> reasoned that the provisions of s.45(1) bestowed a discretion on the </w:t>
      </w:r>
      <w:r w:rsidR="00D5035C">
        <w:rPr>
          <w:rFonts w:ascii="Times New Roman" w:hAnsi="Times New Roman" w:cs="Times New Roman"/>
          <w:sz w:val="24"/>
          <w:szCs w:val="24"/>
        </w:rPr>
        <w:t>l</w:t>
      </w:r>
      <w:r w:rsidRPr="00A93FEF">
        <w:rPr>
          <w:rFonts w:ascii="Times New Roman" w:hAnsi="Times New Roman" w:cs="Times New Roman"/>
          <w:sz w:val="24"/>
          <w:szCs w:val="24"/>
        </w:rPr>
        <w:t xml:space="preserve">ocal </w:t>
      </w:r>
      <w:r w:rsidR="00D5035C">
        <w:rPr>
          <w:rFonts w:ascii="Times New Roman" w:hAnsi="Times New Roman" w:cs="Times New Roman"/>
          <w:sz w:val="24"/>
          <w:szCs w:val="24"/>
        </w:rPr>
        <w:t>a</w:t>
      </w:r>
      <w:r w:rsidRPr="00A93FEF">
        <w:rPr>
          <w:rFonts w:ascii="Times New Roman" w:hAnsi="Times New Roman" w:cs="Times New Roman"/>
          <w:sz w:val="24"/>
          <w:szCs w:val="24"/>
        </w:rPr>
        <w:t xml:space="preserve">uthority to cease to maintain an EHCP rather than an obligation [246]; and by virtue of s.42(5) the </w:t>
      </w:r>
      <w:r w:rsidR="00DC0C26">
        <w:rPr>
          <w:rFonts w:ascii="Times New Roman" w:hAnsi="Times New Roman" w:cs="Times New Roman"/>
          <w:sz w:val="24"/>
          <w:szCs w:val="24"/>
        </w:rPr>
        <w:t>Council</w:t>
      </w:r>
      <w:r w:rsidRPr="00A93FEF">
        <w:rPr>
          <w:rFonts w:ascii="Times New Roman" w:hAnsi="Times New Roman" w:cs="Times New Roman"/>
          <w:sz w:val="24"/>
          <w:szCs w:val="24"/>
        </w:rPr>
        <w:t xml:space="preserve"> was not obliged to “secure the specified special educational provision” in the EHCP if “the child’s parent has made suitable alternative arrangements”. Whil</w:t>
      </w:r>
      <w:r w:rsidR="00FE6B75">
        <w:rPr>
          <w:rFonts w:ascii="Times New Roman" w:hAnsi="Times New Roman" w:cs="Times New Roman"/>
          <w:sz w:val="24"/>
          <w:szCs w:val="24"/>
        </w:rPr>
        <w:t>e</w:t>
      </w:r>
      <w:r w:rsidRPr="00A93FEF">
        <w:rPr>
          <w:rFonts w:ascii="Times New Roman" w:hAnsi="Times New Roman" w:cs="Times New Roman"/>
          <w:sz w:val="24"/>
          <w:szCs w:val="24"/>
        </w:rPr>
        <w:t xml:space="preserve"> it was for the Council to satisfy itself that suitable alternative provision had been made, in the present case </w:t>
      </w:r>
      <w:r w:rsidR="00DC0C26">
        <w:rPr>
          <w:rFonts w:ascii="Times New Roman" w:hAnsi="Times New Roman" w:cs="Times New Roman"/>
          <w:sz w:val="24"/>
          <w:szCs w:val="24"/>
        </w:rPr>
        <w:t xml:space="preserve">Hampshire </w:t>
      </w:r>
      <w:r w:rsidRPr="00A93FEF">
        <w:rPr>
          <w:rFonts w:ascii="Times New Roman" w:hAnsi="Times New Roman" w:cs="Times New Roman"/>
          <w:sz w:val="24"/>
          <w:szCs w:val="24"/>
        </w:rPr>
        <w:t xml:space="preserve">had not done so by virtue of their breach of reg.31 of the </w:t>
      </w:r>
      <w:r w:rsidR="00413528">
        <w:rPr>
          <w:rFonts w:ascii="Times New Roman" w:hAnsi="Times New Roman" w:cs="Times New Roman"/>
          <w:sz w:val="24"/>
          <w:szCs w:val="24"/>
        </w:rPr>
        <w:t>SEND</w:t>
      </w:r>
      <w:r w:rsidRPr="00A93FEF">
        <w:rPr>
          <w:rFonts w:ascii="Times New Roman" w:hAnsi="Times New Roman" w:cs="Times New Roman"/>
          <w:sz w:val="24"/>
          <w:szCs w:val="24"/>
        </w:rPr>
        <w:t xml:space="preserve"> Regulations</w:t>
      </w:r>
      <w:r w:rsidR="00F1212D">
        <w:rPr>
          <w:rFonts w:ascii="Times New Roman" w:hAnsi="Times New Roman" w:cs="Times New Roman"/>
          <w:sz w:val="24"/>
          <w:szCs w:val="24"/>
        </w:rPr>
        <w:t xml:space="preserve"> in failing</w:t>
      </w:r>
      <w:r w:rsidR="003B3667">
        <w:rPr>
          <w:rFonts w:ascii="Times New Roman" w:hAnsi="Times New Roman" w:cs="Times New Roman"/>
          <w:sz w:val="24"/>
          <w:szCs w:val="24"/>
        </w:rPr>
        <w:t xml:space="preserve"> </w:t>
      </w:r>
      <w:r w:rsidRPr="00A93FEF">
        <w:rPr>
          <w:rFonts w:ascii="Times New Roman" w:hAnsi="Times New Roman" w:cs="Times New Roman"/>
          <w:sz w:val="24"/>
          <w:szCs w:val="24"/>
        </w:rPr>
        <w:t>to consult the parents.</w:t>
      </w:r>
    </w:p>
    <w:p w14:paraId="4DE49F49" w14:textId="0EE78017" w:rsidR="00ED46E2" w:rsidRPr="008041A4" w:rsidRDefault="000B037C" w:rsidP="00A574EC">
      <w:pPr>
        <w:pStyle w:val="Indent1"/>
        <w:numPr>
          <w:ilvl w:val="0"/>
          <w:numId w:val="11"/>
        </w:numPr>
        <w:spacing w:line="240" w:lineRule="auto"/>
        <w:rPr>
          <w:rFonts w:ascii="Times New Roman" w:hAnsi="Times New Roman" w:cs="Times New Roman"/>
          <w:sz w:val="24"/>
          <w:szCs w:val="24"/>
        </w:rPr>
      </w:pPr>
      <w:r w:rsidRPr="00ED46E2">
        <w:rPr>
          <w:rFonts w:ascii="Times New Roman" w:hAnsi="Times New Roman" w:cs="Times New Roman"/>
          <w:sz w:val="24"/>
          <w:szCs w:val="24"/>
        </w:rPr>
        <w:t>On 9 October 2024 Andrews LJ granted permission to appeal on condition that the Appellant (Hampshire) agree</w:t>
      </w:r>
      <w:r w:rsidR="00386FE7" w:rsidRPr="00ED46E2">
        <w:rPr>
          <w:rFonts w:ascii="Times New Roman" w:hAnsi="Times New Roman" w:cs="Times New Roman"/>
          <w:sz w:val="24"/>
          <w:szCs w:val="24"/>
        </w:rPr>
        <w:t>d</w:t>
      </w:r>
      <w:r w:rsidRPr="00ED46E2">
        <w:rPr>
          <w:rFonts w:ascii="Times New Roman" w:hAnsi="Times New Roman" w:cs="Times New Roman"/>
          <w:sz w:val="24"/>
          <w:szCs w:val="24"/>
        </w:rPr>
        <w:t xml:space="preserve"> that </w:t>
      </w:r>
      <w:r w:rsidR="00386FE7" w:rsidRPr="00ED46E2">
        <w:rPr>
          <w:rFonts w:ascii="Times New Roman" w:hAnsi="Times New Roman" w:cs="Times New Roman"/>
          <w:sz w:val="24"/>
          <w:szCs w:val="24"/>
        </w:rPr>
        <w:t xml:space="preserve">whatever the outcome in this court </w:t>
      </w:r>
      <w:r w:rsidRPr="00ED46E2">
        <w:rPr>
          <w:rFonts w:ascii="Times New Roman" w:hAnsi="Times New Roman" w:cs="Times New Roman"/>
          <w:sz w:val="24"/>
          <w:szCs w:val="24"/>
        </w:rPr>
        <w:t>it w</w:t>
      </w:r>
      <w:r w:rsidR="00386FE7" w:rsidRPr="00ED46E2">
        <w:rPr>
          <w:rFonts w:ascii="Times New Roman" w:hAnsi="Times New Roman" w:cs="Times New Roman"/>
          <w:sz w:val="24"/>
          <w:szCs w:val="24"/>
        </w:rPr>
        <w:t>ould</w:t>
      </w:r>
      <w:r w:rsidRPr="00ED46E2">
        <w:rPr>
          <w:rFonts w:ascii="Times New Roman" w:hAnsi="Times New Roman" w:cs="Times New Roman"/>
          <w:sz w:val="24"/>
          <w:szCs w:val="24"/>
        </w:rPr>
        <w:t xml:space="preserve"> not seek costs from the Respondent</w:t>
      </w:r>
      <w:r w:rsidR="00386FE7" w:rsidRPr="00ED46E2">
        <w:rPr>
          <w:rFonts w:ascii="Times New Roman" w:hAnsi="Times New Roman" w:cs="Times New Roman"/>
          <w:sz w:val="24"/>
          <w:szCs w:val="24"/>
        </w:rPr>
        <w:t>s</w:t>
      </w:r>
      <w:r w:rsidRPr="00ED46E2">
        <w:rPr>
          <w:rFonts w:ascii="Times New Roman" w:hAnsi="Times New Roman" w:cs="Times New Roman"/>
          <w:sz w:val="24"/>
          <w:szCs w:val="24"/>
        </w:rPr>
        <w:t xml:space="preserve"> </w:t>
      </w:r>
      <w:r w:rsidR="00386FE7" w:rsidRPr="00ED46E2">
        <w:rPr>
          <w:rFonts w:ascii="Times New Roman" w:hAnsi="Times New Roman" w:cs="Times New Roman"/>
          <w:sz w:val="24"/>
          <w:szCs w:val="24"/>
        </w:rPr>
        <w:t xml:space="preserve">in respect of proceedings in this court or the tribunals </w:t>
      </w:r>
      <w:r w:rsidRPr="00ED46E2">
        <w:rPr>
          <w:rFonts w:ascii="Times New Roman" w:hAnsi="Times New Roman" w:cs="Times New Roman"/>
          <w:sz w:val="24"/>
          <w:szCs w:val="24"/>
        </w:rPr>
        <w:t xml:space="preserve">below, </w:t>
      </w:r>
      <w:r w:rsidR="00386FE7" w:rsidRPr="00ED46E2">
        <w:rPr>
          <w:rFonts w:ascii="Times New Roman" w:hAnsi="Times New Roman" w:cs="Times New Roman"/>
          <w:sz w:val="24"/>
          <w:szCs w:val="24"/>
        </w:rPr>
        <w:t xml:space="preserve">and </w:t>
      </w:r>
      <w:r w:rsidRPr="00ED46E2">
        <w:rPr>
          <w:rFonts w:ascii="Times New Roman" w:hAnsi="Times New Roman" w:cs="Times New Roman"/>
          <w:sz w:val="24"/>
          <w:szCs w:val="24"/>
        </w:rPr>
        <w:t>w</w:t>
      </w:r>
      <w:r w:rsidR="00386FE7" w:rsidRPr="00ED46E2">
        <w:rPr>
          <w:rFonts w:ascii="Times New Roman" w:hAnsi="Times New Roman" w:cs="Times New Roman"/>
          <w:sz w:val="24"/>
          <w:szCs w:val="24"/>
        </w:rPr>
        <w:t>ould</w:t>
      </w:r>
      <w:r w:rsidRPr="00ED46E2">
        <w:rPr>
          <w:rFonts w:ascii="Times New Roman" w:hAnsi="Times New Roman" w:cs="Times New Roman"/>
          <w:sz w:val="24"/>
          <w:szCs w:val="24"/>
        </w:rPr>
        <w:t xml:space="preserve"> not seek repayment from them of any costs that it </w:t>
      </w:r>
      <w:r w:rsidR="00386FE7" w:rsidRPr="00ED46E2">
        <w:rPr>
          <w:rFonts w:ascii="Times New Roman" w:hAnsi="Times New Roman" w:cs="Times New Roman"/>
          <w:sz w:val="24"/>
          <w:szCs w:val="24"/>
        </w:rPr>
        <w:t>had been</w:t>
      </w:r>
      <w:r w:rsidRPr="00ED46E2">
        <w:rPr>
          <w:rFonts w:ascii="Times New Roman" w:hAnsi="Times New Roman" w:cs="Times New Roman"/>
          <w:sz w:val="24"/>
          <w:szCs w:val="24"/>
        </w:rPr>
        <w:t xml:space="preserve"> ordered to pay.</w:t>
      </w:r>
      <w:r w:rsidR="00ED46E2" w:rsidRPr="00ED46E2">
        <w:rPr>
          <w:rFonts w:ascii="Times New Roman" w:hAnsi="Times New Roman" w:cs="Times New Roman"/>
          <w:sz w:val="24"/>
          <w:szCs w:val="24"/>
        </w:rPr>
        <w:t xml:space="preserve"> </w:t>
      </w:r>
      <w:r w:rsidRPr="00ED46E2">
        <w:rPr>
          <w:rFonts w:ascii="Times New Roman" w:hAnsi="Times New Roman" w:cs="Times New Roman"/>
          <w:sz w:val="24"/>
          <w:szCs w:val="24"/>
        </w:rPr>
        <w:t>In a letter dated 18 October 2024 the solicitors for the Appellant confirmed that Hampshire agreed to the</w:t>
      </w:r>
      <w:r w:rsidR="00ED46E2">
        <w:rPr>
          <w:rFonts w:ascii="Times New Roman" w:hAnsi="Times New Roman" w:cs="Times New Roman"/>
          <w:sz w:val="24"/>
          <w:szCs w:val="24"/>
        </w:rPr>
        <w:t>se conditions</w:t>
      </w:r>
      <w:r w:rsidRPr="00ED46E2">
        <w:rPr>
          <w:rFonts w:ascii="Times New Roman" w:hAnsi="Times New Roman" w:cs="Times New Roman"/>
          <w:sz w:val="24"/>
          <w:szCs w:val="24"/>
        </w:rPr>
        <w:t>.</w:t>
      </w:r>
    </w:p>
    <w:p w14:paraId="75AF0FE1" w14:textId="5D818BFF" w:rsidR="00386FE7" w:rsidRPr="00BD5A95" w:rsidRDefault="00BD5A95" w:rsidP="00A574EC">
      <w:pPr>
        <w:pStyle w:val="Indent1"/>
        <w:spacing w:line="240" w:lineRule="auto"/>
        <w:ind w:left="0" w:firstLine="0"/>
        <w:rPr>
          <w:rFonts w:ascii="Times New Roman" w:hAnsi="Times New Roman" w:cs="Times New Roman"/>
          <w:i/>
          <w:iCs/>
          <w:sz w:val="24"/>
          <w:szCs w:val="24"/>
        </w:rPr>
      </w:pPr>
      <w:r>
        <w:rPr>
          <w:rFonts w:ascii="Times New Roman" w:hAnsi="Times New Roman" w:cs="Times New Roman"/>
          <w:i/>
          <w:iCs/>
          <w:sz w:val="24"/>
          <w:szCs w:val="24"/>
        </w:rPr>
        <w:t>The legal framework</w:t>
      </w:r>
    </w:p>
    <w:p w14:paraId="56A405A4" w14:textId="77777777" w:rsidR="000B037C" w:rsidRPr="006E58F5" w:rsidRDefault="000B037C" w:rsidP="00A574EC">
      <w:pPr>
        <w:pStyle w:val="Heading2"/>
        <w:rPr>
          <w:rFonts w:ascii="Times New Roman" w:hAnsi="Times New Roman" w:cs="Times New Roman"/>
          <w:i/>
          <w:iCs/>
          <w:color w:val="auto"/>
          <w:sz w:val="24"/>
          <w:szCs w:val="24"/>
        </w:rPr>
      </w:pPr>
      <w:bookmarkStart w:id="6" w:name="_Toc216144026"/>
      <w:r w:rsidRPr="006E58F5">
        <w:rPr>
          <w:rFonts w:ascii="Times New Roman" w:hAnsi="Times New Roman" w:cs="Times New Roman"/>
          <w:i/>
          <w:iCs/>
          <w:color w:val="auto"/>
          <w:sz w:val="24"/>
          <w:szCs w:val="24"/>
        </w:rPr>
        <w:t>The Children and Families Act 2014</w:t>
      </w:r>
      <w:bookmarkEnd w:id="6"/>
    </w:p>
    <w:p w14:paraId="7EC40712" w14:textId="77777777" w:rsidR="00BD5A95" w:rsidRPr="00BD5A95" w:rsidRDefault="00BD5A95" w:rsidP="00A574EC"/>
    <w:p w14:paraId="6D793D37" w14:textId="5956B39A" w:rsidR="000B037C" w:rsidRPr="00A93FEF"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The material p</w:t>
      </w:r>
      <w:r w:rsidR="00BD5A95">
        <w:rPr>
          <w:rFonts w:ascii="Times New Roman" w:hAnsi="Times New Roman" w:cs="Times New Roman"/>
          <w:sz w:val="24"/>
          <w:szCs w:val="24"/>
        </w:rPr>
        <w:t>rovision</w:t>
      </w:r>
      <w:r w:rsidRPr="00A93FEF">
        <w:rPr>
          <w:rFonts w:ascii="Times New Roman" w:hAnsi="Times New Roman" w:cs="Times New Roman"/>
          <w:sz w:val="24"/>
          <w:szCs w:val="24"/>
        </w:rPr>
        <w:t xml:space="preserve">s of the 2014 </w:t>
      </w:r>
      <w:r w:rsidR="00BD5A95">
        <w:rPr>
          <w:rFonts w:ascii="Times New Roman" w:hAnsi="Times New Roman" w:cs="Times New Roman"/>
          <w:sz w:val="24"/>
          <w:szCs w:val="24"/>
        </w:rPr>
        <w:t>Act are as follows</w:t>
      </w:r>
      <w:r w:rsidRPr="00A93FEF">
        <w:rPr>
          <w:rFonts w:ascii="Times New Roman" w:hAnsi="Times New Roman" w:cs="Times New Roman"/>
          <w:sz w:val="24"/>
          <w:szCs w:val="24"/>
        </w:rPr>
        <w:t>:</w:t>
      </w:r>
    </w:p>
    <w:p w14:paraId="5F2E629C" w14:textId="77777777" w:rsidR="000B037C" w:rsidRPr="00A93FEF" w:rsidRDefault="000B037C" w:rsidP="00A574EC">
      <w:pPr>
        <w:pStyle w:val="Indent1"/>
        <w:spacing w:line="240" w:lineRule="auto"/>
        <w:ind w:left="720" w:firstLine="0"/>
        <w:rPr>
          <w:rFonts w:ascii="Times New Roman" w:hAnsi="Times New Roman" w:cs="Times New Roman"/>
          <w:b/>
          <w:bCs/>
          <w:sz w:val="24"/>
          <w:szCs w:val="24"/>
        </w:rPr>
      </w:pPr>
      <w:r w:rsidRPr="00A93FEF">
        <w:rPr>
          <w:rFonts w:ascii="Times New Roman" w:hAnsi="Times New Roman" w:cs="Times New Roman"/>
          <w:b/>
          <w:bCs/>
          <w:sz w:val="24"/>
          <w:szCs w:val="24"/>
        </w:rPr>
        <w:t>s.22 Identifying children and young people with special educational needs and disabilities</w:t>
      </w:r>
    </w:p>
    <w:p w14:paraId="1189EFCA" w14:textId="77777777" w:rsidR="000B037C" w:rsidRPr="00ED46E2" w:rsidRDefault="000B037C" w:rsidP="00A574EC">
      <w:pPr>
        <w:pStyle w:val="Indent1"/>
        <w:spacing w:after="120" w:line="240" w:lineRule="auto"/>
        <w:ind w:left="720" w:firstLine="0"/>
        <w:rPr>
          <w:rFonts w:ascii="Times New Roman" w:hAnsi="Times New Roman" w:cs="Times New Roman"/>
          <w:sz w:val="24"/>
          <w:szCs w:val="24"/>
        </w:rPr>
      </w:pPr>
      <w:r w:rsidRPr="00ED46E2">
        <w:rPr>
          <w:rFonts w:ascii="Times New Roman" w:hAnsi="Times New Roman" w:cs="Times New Roman"/>
          <w:sz w:val="24"/>
          <w:szCs w:val="24"/>
        </w:rPr>
        <w:t xml:space="preserve">A local authority in England must exercise its functions with a view to securing that it identifies— </w:t>
      </w:r>
    </w:p>
    <w:p w14:paraId="73C0C82F" w14:textId="25864350" w:rsidR="000B037C" w:rsidRPr="003440E7" w:rsidRDefault="000B037C" w:rsidP="00A574EC">
      <w:pPr>
        <w:pStyle w:val="Indent1"/>
        <w:numPr>
          <w:ilvl w:val="0"/>
          <w:numId w:val="14"/>
        </w:numPr>
        <w:spacing w:after="120" w:line="240" w:lineRule="auto"/>
        <w:rPr>
          <w:rFonts w:ascii="Times New Roman" w:hAnsi="Times New Roman" w:cs="Times New Roman"/>
          <w:sz w:val="24"/>
          <w:szCs w:val="24"/>
        </w:rPr>
      </w:pPr>
      <w:r w:rsidRPr="00ED46E2">
        <w:rPr>
          <w:rFonts w:ascii="Times New Roman" w:hAnsi="Times New Roman" w:cs="Times New Roman"/>
          <w:sz w:val="24"/>
          <w:szCs w:val="24"/>
        </w:rPr>
        <w:t xml:space="preserve">all the children and young people in its area who have or may have </w:t>
      </w:r>
      <w:r w:rsidRPr="003440E7">
        <w:rPr>
          <w:rFonts w:ascii="Times New Roman" w:hAnsi="Times New Roman" w:cs="Times New Roman"/>
          <w:sz w:val="24"/>
          <w:szCs w:val="24"/>
        </w:rPr>
        <w:t>special educational needs, and</w:t>
      </w:r>
    </w:p>
    <w:p w14:paraId="585FC40A" w14:textId="15CB657F" w:rsidR="000B037C" w:rsidRPr="00B91CA7" w:rsidRDefault="000B037C" w:rsidP="00B91CA7">
      <w:pPr>
        <w:pStyle w:val="Indent1"/>
        <w:spacing w:line="240" w:lineRule="auto"/>
        <w:ind w:left="873" w:firstLine="153"/>
        <w:rPr>
          <w:rFonts w:ascii="Times New Roman" w:hAnsi="Times New Roman" w:cs="Times New Roman"/>
          <w:sz w:val="24"/>
          <w:szCs w:val="24"/>
        </w:rPr>
      </w:pPr>
      <w:r w:rsidRPr="00ED46E2">
        <w:rPr>
          <w:rFonts w:ascii="Times New Roman" w:hAnsi="Times New Roman" w:cs="Times New Roman"/>
          <w:sz w:val="24"/>
          <w:szCs w:val="24"/>
        </w:rPr>
        <w:t>(b) all the children and young people in its area who have a disability.</w:t>
      </w:r>
    </w:p>
    <w:p w14:paraId="6CF09CD4" w14:textId="77777777" w:rsidR="000B037C" w:rsidRPr="00A93FEF" w:rsidRDefault="000B037C" w:rsidP="00A574EC">
      <w:pPr>
        <w:pStyle w:val="Indent1"/>
        <w:spacing w:line="240" w:lineRule="auto"/>
        <w:ind w:left="720"/>
        <w:rPr>
          <w:rFonts w:ascii="Times New Roman" w:hAnsi="Times New Roman" w:cs="Times New Roman"/>
          <w:b/>
          <w:bCs/>
          <w:sz w:val="24"/>
          <w:szCs w:val="24"/>
        </w:rPr>
      </w:pPr>
      <w:r w:rsidRPr="00A93FEF">
        <w:rPr>
          <w:rFonts w:ascii="Times New Roman" w:hAnsi="Times New Roman" w:cs="Times New Roman"/>
          <w:b/>
          <w:bCs/>
          <w:i/>
          <w:iCs/>
          <w:sz w:val="24"/>
          <w:szCs w:val="24"/>
        </w:rPr>
        <w:tab/>
      </w:r>
      <w:r w:rsidRPr="00A93FEF">
        <w:rPr>
          <w:rFonts w:ascii="Times New Roman" w:hAnsi="Times New Roman" w:cs="Times New Roman"/>
          <w:b/>
          <w:bCs/>
          <w:sz w:val="24"/>
          <w:szCs w:val="24"/>
        </w:rPr>
        <w:t>s.24 When a local authority is responsible for a child or young person</w:t>
      </w:r>
    </w:p>
    <w:p w14:paraId="65BD721D" w14:textId="77777777" w:rsidR="000B037C" w:rsidRPr="00ED46E2" w:rsidRDefault="000B037C" w:rsidP="00A574EC">
      <w:pPr>
        <w:pStyle w:val="Indent1"/>
        <w:spacing w:after="120" w:line="240" w:lineRule="auto"/>
        <w:ind w:left="720"/>
        <w:rPr>
          <w:rFonts w:ascii="Times New Roman" w:hAnsi="Times New Roman" w:cs="Times New Roman"/>
          <w:sz w:val="24"/>
          <w:szCs w:val="24"/>
        </w:rPr>
      </w:pPr>
      <w:r w:rsidRPr="00ED46E2">
        <w:rPr>
          <w:rFonts w:ascii="Times New Roman" w:hAnsi="Times New Roman" w:cs="Times New Roman"/>
          <w:sz w:val="24"/>
          <w:szCs w:val="24"/>
        </w:rPr>
        <w:tab/>
        <w:t xml:space="preserve">(1) A local authority in England is responsible for a child or young person if he or she is in the authority's area and has been— </w:t>
      </w:r>
    </w:p>
    <w:p w14:paraId="2FCFC18A" w14:textId="77777777" w:rsidR="000B037C" w:rsidRPr="00ED46E2" w:rsidRDefault="000B037C" w:rsidP="00A574EC">
      <w:pPr>
        <w:pStyle w:val="Indent1"/>
        <w:spacing w:after="120" w:line="240" w:lineRule="auto"/>
        <w:ind w:left="1026" w:firstLine="0"/>
        <w:rPr>
          <w:rFonts w:ascii="Times New Roman" w:hAnsi="Times New Roman" w:cs="Times New Roman"/>
          <w:sz w:val="24"/>
          <w:szCs w:val="24"/>
        </w:rPr>
      </w:pPr>
      <w:r w:rsidRPr="00ED46E2">
        <w:rPr>
          <w:rFonts w:ascii="Times New Roman" w:hAnsi="Times New Roman" w:cs="Times New Roman"/>
          <w:sz w:val="24"/>
          <w:szCs w:val="24"/>
        </w:rPr>
        <w:t xml:space="preserve">(a) identified by the authority as someone who has or may have special educational needs, or </w:t>
      </w:r>
    </w:p>
    <w:p w14:paraId="35DAC897" w14:textId="77777777" w:rsidR="003440E7" w:rsidRDefault="000B037C" w:rsidP="00A574EC">
      <w:pPr>
        <w:pStyle w:val="Indent1"/>
        <w:spacing w:line="240" w:lineRule="auto"/>
        <w:ind w:left="1026" w:firstLine="0"/>
        <w:rPr>
          <w:rFonts w:ascii="Times New Roman" w:hAnsi="Times New Roman" w:cs="Times New Roman"/>
          <w:sz w:val="24"/>
          <w:szCs w:val="24"/>
        </w:rPr>
      </w:pPr>
      <w:r w:rsidRPr="00ED46E2">
        <w:rPr>
          <w:rFonts w:ascii="Times New Roman" w:hAnsi="Times New Roman" w:cs="Times New Roman"/>
          <w:sz w:val="24"/>
          <w:szCs w:val="24"/>
        </w:rPr>
        <w:t xml:space="preserve">(b) brought to the authority's attention by any person as someone who has or may have special educational needs. </w:t>
      </w:r>
    </w:p>
    <w:p w14:paraId="5040A067" w14:textId="2AD12DE7" w:rsidR="000B037C" w:rsidRPr="00ED46E2" w:rsidRDefault="000B037C" w:rsidP="00A574EC">
      <w:pPr>
        <w:pStyle w:val="Indent1"/>
        <w:spacing w:line="240" w:lineRule="auto"/>
        <w:ind w:left="1026" w:hanging="317"/>
        <w:rPr>
          <w:rFonts w:ascii="Times New Roman" w:hAnsi="Times New Roman" w:cs="Times New Roman"/>
          <w:sz w:val="24"/>
          <w:szCs w:val="24"/>
        </w:rPr>
      </w:pPr>
      <w:r w:rsidRPr="00ED46E2">
        <w:rPr>
          <w:rFonts w:ascii="Times New Roman" w:hAnsi="Times New Roman" w:cs="Times New Roman"/>
          <w:sz w:val="24"/>
          <w:szCs w:val="24"/>
        </w:rPr>
        <w:t>(2) This section applies for the purposes of this Part</w:t>
      </w:r>
      <w:r w:rsidR="001D1390">
        <w:rPr>
          <w:rFonts w:ascii="Times New Roman" w:hAnsi="Times New Roman" w:cs="Times New Roman"/>
          <w:sz w:val="24"/>
          <w:szCs w:val="24"/>
        </w:rPr>
        <w:t>.</w:t>
      </w:r>
    </w:p>
    <w:p w14:paraId="5A565E04" w14:textId="77777777" w:rsidR="000B037C" w:rsidRPr="00A93FEF" w:rsidRDefault="000B037C" w:rsidP="00A574EC">
      <w:pPr>
        <w:pStyle w:val="Indent1"/>
        <w:spacing w:line="240" w:lineRule="auto"/>
        <w:ind w:left="1026" w:firstLine="0"/>
        <w:rPr>
          <w:rFonts w:ascii="Times New Roman" w:hAnsi="Times New Roman" w:cs="Times New Roman"/>
          <w:i/>
          <w:iCs/>
          <w:sz w:val="24"/>
          <w:szCs w:val="24"/>
        </w:rPr>
      </w:pPr>
    </w:p>
    <w:p w14:paraId="3E61AE0C" w14:textId="77777777" w:rsidR="000B037C" w:rsidRPr="00A93FEF" w:rsidRDefault="000B037C" w:rsidP="00A574EC">
      <w:pPr>
        <w:pStyle w:val="Indent1"/>
        <w:spacing w:line="240" w:lineRule="auto"/>
        <w:ind w:left="720" w:firstLine="0"/>
        <w:rPr>
          <w:rFonts w:ascii="Times New Roman" w:hAnsi="Times New Roman" w:cs="Times New Roman"/>
          <w:b/>
          <w:bCs/>
          <w:sz w:val="24"/>
          <w:szCs w:val="24"/>
        </w:rPr>
      </w:pPr>
      <w:r w:rsidRPr="00A93FEF">
        <w:rPr>
          <w:rFonts w:ascii="Times New Roman" w:hAnsi="Times New Roman" w:cs="Times New Roman"/>
          <w:b/>
          <w:bCs/>
          <w:sz w:val="24"/>
          <w:szCs w:val="24"/>
        </w:rPr>
        <w:t xml:space="preserve">s.42 Duty to secure special educational provision and health care provision in accordance with EHC Plan </w:t>
      </w:r>
    </w:p>
    <w:p w14:paraId="445EE018" w14:textId="77777777" w:rsidR="000B037C" w:rsidRPr="00ED46E2" w:rsidRDefault="000B037C" w:rsidP="00A574EC">
      <w:pPr>
        <w:pStyle w:val="Indent1"/>
        <w:spacing w:after="120" w:line="240" w:lineRule="auto"/>
        <w:ind w:left="720" w:firstLine="0"/>
        <w:rPr>
          <w:rFonts w:ascii="Times New Roman" w:hAnsi="Times New Roman" w:cs="Times New Roman"/>
          <w:sz w:val="24"/>
          <w:szCs w:val="24"/>
        </w:rPr>
      </w:pPr>
      <w:r w:rsidRPr="00ED46E2">
        <w:rPr>
          <w:rFonts w:ascii="Times New Roman" w:hAnsi="Times New Roman" w:cs="Times New Roman"/>
          <w:sz w:val="24"/>
          <w:szCs w:val="24"/>
        </w:rPr>
        <w:t xml:space="preserve">(1) This section applies where a local authority maintains an EHC plan for a child or young person. </w:t>
      </w:r>
    </w:p>
    <w:p w14:paraId="06C7DB7A" w14:textId="77777777" w:rsidR="000B037C" w:rsidRPr="00ED46E2" w:rsidRDefault="000B037C" w:rsidP="00A574EC">
      <w:pPr>
        <w:pStyle w:val="Indent1"/>
        <w:spacing w:after="120" w:line="240" w:lineRule="auto"/>
        <w:ind w:left="720" w:firstLine="0"/>
        <w:rPr>
          <w:rFonts w:ascii="Times New Roman" w:hAnsi="Times New Roman" w:cs="Times New Roman"/>
          <w:sz w:val="24"/>
          <w:szCs w:val="24"/>
        </w:rPr>
      </w:pPr>
      <w:r w:rsidRPr="00ED46E2">
        <w:rPr>
          <w:rFonts w:ascii="Times New Roman" w:hAnsi="Times New Roman" w:cs="Times New Roman"/>
          <w:sz w:val="24"/>
          <w:szCs w:val="24"/>
        </w:rPr>
        <w:t xml:space="preserve">(2) The local authority must secure the specified special educational provision for the child or young person. … </w:t>
      </w:r>
    </w:p>
    <w:p w14:paraId="3C3B9A3B" w14:textId="77777777" w:rsidR="000B037C" w:rsidRPr="00ED46E2" w:rsidRDefault="000B037C" w:rsidP="00A574EC">
      <w:pPr>
        <w:pStyle w:val="Indent1"/>
        <w:spacing w:after="120" w:line="240" w:lineRule="auto"/>
        <w:ind w:left="720" w:firstLine="0"/>
        <w:rPr>
          <w:rFonts w:ascii="Times New Roman" w:hAnsi="Times New Roman" w:cs="Times New Roman"/>
          <w:sz w:val="24"/>
          <w:szCs w:val="24"/>
        </w:rPr>
      </w:pPr>
      <w:r w:rsidRPr="00ED46E2">
        <w:rPr>
          <w:rFonts w:ascii="Times New Roman" w:hAnsi="Times New Roman" w:cs="Times New Roman"/>
          <w:sz w:val="24"/>
          <w:szCs w:val="24"/>
        </w:rPr>
        <w:t xml:space="preserve">(5) Subsections (2) and (3) do not apply if the child's parent or the young person has made suitable alternative arrangements. </w:t>
      </w:r>
    </w:p>
    <w:p w14:paraId="13B8C038" w14:textId="5153BA25" w:rsidR="000A4E77" w:rsidRPr="00B91CA7" w:rsidRDefault="000B037C" w:rsidP="00B91CA7">
      <w:pPr>
        <w:pStyle w:val="Indent1"/>
        <w:spacing w:line="240" w:lineRule="auto"/>
        <w:ind w:left="720" w:firstLine="0"/>
        <w:rPr>
          <w:rFonts w:ascii="Times New Roman" w:hAnsi="Times New Roman" w:cs="Times New Roman"/>
          <w:sz w:val="24"/>
          <w:szCs w:val="24"/>
        </w:rPr>
      </w:pPr>
      <w:r w:rsidRPr="00ED46E2">
        <w:rPr>
          <w:rFonts w:ascii="Times New Roman" w:hAnsi="Times New Roman" w:cs="Times New Roman"/>
          <w:sz w:val="24"/>
          <w:szCs w:val="24"/>
        </w:rPr>
        <w:t>(6) “Specified”, in relation to an EHC plan, means specified in the plan.</w:t>
      </w:r>
    </w:p>
    <w:p w14:paraId="2552DB5B" w14:textId="662AD19F" w:rsidR="000B037C" w:rsidRPr="00A93FEF" w:rsidRDefault="000B037C" w:rsidP="00A574EC">
      <w:pPr>
        <w:pStyle w:val="Indent1"/>
        <w:spacing w:line="240" w:lineRule="auto"/>
        <w:ind w:left="720" w:firstLine="0"/>
        <w:rPr>
          <w:rFonts w:ascii="Times New Roman" w:hAnsi="Times New Roman" w:cs="Times New Roman"/>
          <w:b/>
          <w:bCs/>
          <w:sz w:val="24"/>
          <w:szCs w:val="24"/>
        </w:rPr>
      </w:pPr>
      <w:r w:rsidRPr="00A93FEF">
        <w:rPr>
          <w:rFonts w:ascii="Times New Roman" w:hAnsi="Times New Roman" w:cs="Times New Roman"/>
          <w:b/>
          <w:bCs/>
          <w:sz w:val="24"/>
          <w:szCs w:val="24"/>
        </w:rPr>
        <w:t>s.45 Ceasing to maintain an EHC plan</w:t>
      </w:r>
    </w:p>
    <w:p w14:paraId="76B60141" w14:textId="77777777" w:rsidR="000B037C" w:rsidRPr="00ED46E2" w:rsidRDefault="000B037C" w:rsidP="00A574EC">
      <w:pPr>
        <w:pStyle w:val="Indent1"/>
        <w:spacing w:after="120" w:line="240" w:lineRule="auto"/>
        <w:ind w:left="1287"/>
        <w:rPr>
          <w:rFonts w:ascii="Times New Roman" w:hAnsi="Times New Roman" w:cs="Times New Roman"/>
          <w:sz w:val="24"/>
          <w:szCs w:val="24"/>
        </w:rPr>
      </w:pPr>
      <w:r w:rsidRPr="00ED46E2">
        <w:rPr>
          <w:rFonts w:ascii="Times New Roman" w:hAnsi="Times New Roman" w:cs="Times New Roman"/>
          <w:sz w:val="24"/>
          <w:szCs w:val="24"/>
        </w:rPr>
        <w:t>(1) A local authority may cease to maintain an EHC plan for a child or young person only if</w:t>
      </w:r>
    </w:p>
    <w:p w14:paraId="3F5B1A97" w14:textId="77777777" w:rsidR="000B037C" w:rsidRPr="00ED46E2" w:rsidRDefault="000B037C" w:rsidP="00A574EC">
      <w:pPr>
        <w:pStyle w:val="Indent1"/>
        <w:spacing w:after="120" w:line="240" w:lineRule="auto"/>
        <w:ind w:left="1287" w:firstLine="0"/>
        <w:rPr>
          <w:rFonts w:ascii="Times New Roman" w:hAnsi="Times New Roman" w:cs="Times New Roman"/>
          <w:sz w:val="24"/>
          <w:szCs w:val="24"/>
        </w:rPr>
      </w:pPr>
      <w:r w:rsidRPr="00ED46E2">
        <w:rPr>
          <w:rFonts w:ascii="Times New Roman" w:hAnsi="Times New Roman" w:cs="Times New Roman"/>
          <w:sz w:val="24"/>
          <w:szCs w:val="24"/>
        </w:rPr>
        <w:t>(a) The authority is no longer responsible for the child or young person, or</w:t>
      </w:r>
    </w:p>
    <w:p w14:paraId="2517F5FD" w14:textId="77777777" w:rsidR="000B037C" w:rsidRPr="00ED46E2" w:rsidRDefault="000B037C" w:rsidP="00A574EC">
      <w:pPr>
        <w:pStyle w:val="Indent1"/>
        <w:spacing w:after="120" w:line="240" w:lineRule="auto"/>
        <w:ind w:left="1287" w:firstLine="0"/>
        <w:rPr>
          <w:rFonts w:ascii="Times New Roman" w:hAnsi="Times New Roman" w:cs="Times New Roman"/>
          <w:sz w:val="24"/>
          <w:szCs w:val="24"/>
        </w:rPr>
      </w:pPr>
      <w:r w:rsidRPr="00ED46E2">
        <w:rPr>
          <w:rFonts w:ascii="Times New Roman" w:hAnsi="Times New Roman" w:cs="Times New Roman"/>
          <w:sz w:val="24"/>
          <w:szCs w:val="24"/>
        </w:rPr>
        <w:t>(b) the authority determines that it is no longer necessary for the plan to be maintained […]</w:t>
      </w:r>
    </w:p>
    <w:p w14:paraId="2344AA4D" w14:textId="77777777" w:rsidR="000B037C" w:rsidRPr="00ED46E2" w:rsidRDefault="000B037C" w:rsidP="00A574EC">
      <w:pPr>
        <w:pStyle w:val="Indent1"/>
        <w:spacing w:after="120" w:line="240" w:lineRule="auto"/>
        <w:ind w:left="720"/>
        <w:rPr>
          <w:rFonts w:ascii="Times New Roman" w:hAnsi="Times New Roman" w:cs="Times New Roman"/>
          <w:sz w:val="24"/>
          <w:szCs w:val="24"/>
        </w:rPr>
      </w:pPr>
      <w:r w:rsidRPr="00ED46E2">
        <w:rPr>
          <w:rFonts w:ascii="Times New Roman" w:hAnsi="Times New Roman" w:cs="Times New Roman"/>
          <w:sz w:val="24"/>
          <w:szCs w:val="24"/>
        </w:rPr>
        <w:tab/>
        <w:t xml:space="preserve">(4) A local authority may not cease to maintain an EHC plan for a child or young person until – </w:t>
      </w:r>
    </w:p>
    <w:p w14:paraId="1C461914" w14:textId="77777777" w:rsidR="000B037C" w:rsidRPr="00ED46E2" w:rsidRDefault="000B037C" w:rsidP="00A574EC">
      <w:pPr>
        <w:pStyle w:val="Indent1"/>
        <w:spacing w:after="120" w:line="240" w:lineRule="auto"/>
        <w:ind w:left="1273" w:firstLine="0"/>
        <w:rPr>
          <w:rFonts w:ascii="Times New Roman" w:hAnsi="Times New Roman" w:cs="Times New Roman"/>
          <w:sz w:val="24"/>
          <w:szCs w:val="24"/>
        </w:rPr>
      </w:pPr>
      <w:r w:rsidRPr="00ED46E2">
        <w:rPr>
          <w:rFonts w:ascii="Times New Roman" w:hAnsi="Times New Roman" w:cs="Times New Roman"/>
          <w:sz w:val="24"/>
          <w:szCs w:val="24"/>
        </w:rPr>
        <w:t>(a) after the end of the period allowed for bringing an appeal under s.51 against its decision to cease to maintain the plan, where no such appeal is brought before the end of that period;</w:t>
      </w:r>
    </w:p>
    <w:p w14:paraId="483CC438" w14:textId="77777777" w:rsidR="000B037C" w:rsidRPr="00ED46E2" w:rsidRDefault="000B037C" w:rsidP="00A574EC">
      <w:pPr>
        <w:pStyle w:val="Indent1"/>
        <w:spacing w:after="120" w:line="240" w:lineRule="auto"/>
        <w:ind w:left="1273" w:firstLine="0"/>
        <w:rPr>
          <w:rFonts w:ascii="Times New Roman" w:hAnsi="Times New Roman" w:cs="Times New Roman"/>
          <w:sz w:val="24"/>
          <w:szCs w:val="24"/>
        </w:rPr>
      </w:pPr>
      <w:r w:rsidRPr="00ED46E2">
        <w:rPr>
          <w:rFonts w:ascii="Times New Roman" w:hAnsi="Times New Roman" w:cs="Times New Roman"/>
          <w:sz w:val="24"/>
          <w:szCs w:val="24"/>
        </w:rPr>
        <w:t>(b) after the appeal has been finally determined, where such an appeal is brought before the end of that period.</w:t>
      </w:r>
    </w:p>
    <w:p w14:paraId="5E407BC6" w14:textId="77777777" w:rsidR="000B037C" w:rsidRPr="00ED46E2" w:rsidRDefault="000B037C" w:rsidP="00A574EC">
      <w:pPr>
        <w:pStyle w:val="Indent1"/>
        <w:spacing w:after="120" w:line="240" w:lineRule="auto"/>
        <w:ind w:left="720" w:firstLine="0"/>
        <w:rPr>
          <w:rFonts w:ascii="Times New Roman" w:hAnsi="Times New Roman" w:cs="Times New Roman"/>
          <w:sz w:val="24"/>
          <w:szCs w:val="24"/>
        </w:rPr>
      </w:pPr>
      <w:r w:rsidRPr="00ED46E2">
        <w:rPr>
          <w:rFonts w:ascii="Times New Roman" w:hAnsi="Times New Roman" w:cs="Times New Roman"/>
          <w:sz w:val="24"/>
          <w:szCs w:val="24"/>
        </w:rPr>
        <w:t xml:space="preserve">(5) Regulations may make provision about ceasing to maintain an EHC plan, in particular about- […] </w:t>
      </w:r>
    </w:p>
    <w:p w14:paraId="6AD93631" w14:textId="77777777" w:rsidR="000B037C" w:rsidRPr="00ED46E2" w:rsidRDefault="000B037C" w:rsidP="00A574EC">
      <w:pPr>
        <w:pStyle w:val="Indent1"/>
        <w:spacing w:after="120" w:line="240" w:lineRule="auto"/>
        <w:ind w:left="1287" w:firstLine="0"/>
        <w:rPr>
          <w:rFonts w:ascii="Times New Roman" w:hAnsi="Times New Roman" w:cs="Times New Roman"/>
          <w:sz w:val="24"/>
          <w:szCs w:val="24"/>
        </w:rPr>
      </w:pPr>
      <w:r w:rsidRPr="00ED46E2">
        <w:rPr>
          <w:rFonts w:ascii="Times New Roman" w:hAnsi="Times New Roman" w:cs="Times New Roman"/>
          <w:sz w:val="24"/>
          <w:szCs w:val="24"/>
        </w:rPr>
        <w:t>(a) other circumstances in which it is no longer necessary for an EHC plan to be maintained</w:t>
      </w:r>
    </w:p>
    <w:p w14:paraId="2A00D8C8" w14:textId="77777777" w:rsidR="000B037C" w:rsidRPr="00ED46E2" w:rsidRDefault="000B037C" w:rsidP="00A574EC">
      <w:pPr>
        <w:pStyle w:val="Indent1"/>
        <w:spacing w:after="120" w:line="240" w:lineRule="auto"/>
        <w:ind w:left="1287" w:firstLine="0"/>
        <w:rPr>
          <w:rFonts w:ascii="Times New Roman" w:hAnsi="Times New Roman" w:cs="Times New Roman"/>
          <w:sz w:val="24"/>
          <w:szCs w:val="24"/>
        </w:rPr>
      </w:pPr>
      <w:r w:rsidRPr="00ED46E2">
        <w:rPr>
          <w:rFonts w:ascii="Times New Roman" w:hAnsi="Times New Roman" w:cs="Times New Roman"/>
          <w:sz w:val="24"/>
          <w:szCs w:val="24"/>
        </w:rPr>
        <w:t>(b) circumstances in which a local authority may not determine that it is no longer necessary for an EHC plan to be maintained;</w:t>
      </w:r>
    </w:p>
    <w:p w14:paraId="7D89488B" w14:textId="77777777" w:rsidR="000B037C" w:rsidRPr="00ED46E2" w:rsidRDefault="000B037C" w:rsidP="00A574EC">
      <w:pPr>
        <w:pStyle w:val="Indent1"/>
        <w:spacing w:after="120" w:line="240" w:lineRule="auto"/>
        <w:ind w:left="1287" w:firstLine="0"/>
        <w:rPr>
          <w:rFonts w:ascii="Times New Roman" w:hAnsi="Times New Roman" w:cs="Times New Roman"/>
          <w:sz w:val="24"/>
          <w:szCs w:val="24"/>
        </w:rPr>
      </w:pPr>
      <w:r w:rsidRPr="00ED46E2">
        <w:rPr>
          <w:rFonts w:ascii="Times New Roman" w:hAnsi="Times New Roman" w:cs="Times New Roman"/>
          <w:sz w:val="24"/>
          <w:szCs w:val="24"/>
        </w:rPr>
        <w:t>(c) the procedure to be followed by a local authority when determining whether to cease to maintain an EHC plan.</w:t>
      </w:r>
    </w:p>
    <w:p w14:paraId="16B0FF2D" w14:textId="77777777" w:rsidR="000B037C" w:rsidRPr="00A93FEF" w:rsidRDefault="000B037C" w:rsidP="00A574EC">
      <w:pPr>
        <w:pStyle w:val="Indent1"/>
        <w:spacing w:after="120" w:line="240" w:lineRule="auto"/>
        <w:ind w:left="720"/>
        <w:rPr>
          <w:rFonts w:ascii="Times New Roman" w:hAnsi="Times New Roman" w:cs="Times New Roman"/>
          <w:i/>
          <w:iCs/>
          <w:sz w:val="24"/>
          <w:szCs w:val="24"/>
        </w:rPr>
      </w:pPr>
    </w:p>
    <w:p w14:paraId="1F3A0C6F" w14:textId="77777777" w:rsidR="000B037C" w:rsidRPr="00A93FEF" w:rsidRDefault="000B037C" w:rsidP="00A574EC">
      <w:pPr>
        <w:pStyle w:val="Indent1"/>
        <w:spacing w:after="120" w:line="240" w:lineRule="auto"/>
        <w:ind w:left="720"/>
        <w:rPr>
          <w:rFonts w:ascii="Times New Roman" w:hAnsi="Times New Roman" w:cs="Times New Roman"/>
          <w:b/>
          <w:bCs/>
          <w:sz w:val="24"/>
          <w:szCs w:val="24"/>
        </w:rPr>
      </w:pPr>
      <w:r w:rsidRPr="00A93FEF">
        <w:rPr>
          <w:rFonts w:ascii="Times New Roman" w:hAnsi="Times New Roman" w:cs="Times New Roman"/>
          <w:i/>
          <w:iCs/>
          <w:sz w:val="24"/>
          <w:szCs w:val="24"/>
        </w:rPr>
        <w:tab/>
      </w:r>
      <w:r w:rsidRPr="00A93FEF">
        <w:rPr>
          <w:rFonts w:ascii="Times New Roman" w:hAnsi="Times New Roman" w:cs="Times New Roman"/>
          <w:b/>
          <w:bCs/>
          <w:sz w:val="24"/>
          <w:szCs w:val="24"/>
        </w:rPr>
        <w:t>s.83 Interpretation of Part 3</w:t>
      </w:r>
    </w:p>
    <w:p w14:paraId="10FBC2D0" w14:textId="77777777" w:rsidR="000B037C" w:rsidRPr="00ED46E2" w:rsidRDefault="000B037C" w:rsidP="00A574EC">
      <w:pPr>
        <w:pStyle w:val="Indent1"/>
        <w:spacing w:after="120" w:line="240" w:lineRule="auto"/>
        <w:ind w:left="720"/>
        <w:rPr>
          <w:rFonts w:ascii="Times New Roman" w:hAnsi="Times New Roman" w:cs="Times New Roman"/>
          <w:sz w:val="24"/>
          <w:szCs w:val="24"/>
        </w:rPr>
      </w:pPr>
      <w:r w:rsidRPr="00ED46E2">
        <w:rPr>
          <w:rFonts w:ascii="Times New Roman" w:hAnsi="Times New Roman" w:cs="Times New Roman"/>
          <w:sz w:val="24"/>
          <w:szCs w:val="24"/>
        </w:rPr>
        <w:tab/>
        <w:t>(6) A reference in this Part to a child or young person who is “in the area” of a local authority in England does not include a child or young person who is wholly or mainly resident in the area of a local authority in Wales or who would be wholly or mainly resident in the area of a local authority in Wales were it not for provision secured for the child or young person under Part 2 of the Additional Learning Needs and Education Tribunal (Wales) Act 2018”.</w:t>
      </w:r>
    </w:p>
    <w:p w14:paraId="256D59CA" w14:textId="77777777" w:rsidR="000B037C" w:rsidRPr="00A11A6A" w:rsidRDefault="000B037C" w:rsidP="00A574EC">
      <w:pPr>
        <w:pStyle w:val="Indent1"/>
        <w:spacing w:after="120" w:line="240" w:lineRule="auto"/>
        <w:ind w:left="1134" w:firstLine="0"/>
        <w:rPr>
          <w:rFonts w:ascii="Times New Roman" w:hAnsi="Times New Roman" w:cs="Times New Roman"/>
          <w:i/>
          <w:iCs/>
          <w:sz w:val="20"/>
          <w:szCs w:val="20"/>
        </w:rPr>
      </w:pPr>
    </w:p>
    <w:p w14:paraId="6F1A6502" w14:textId="77777777" w:rsidR="000B037C" w:rsidRPr="00B7057D" w:rsidRDefault="000B037C" w:rsidP="00A574EC">
      <w:pPr>
        <w:pStyle w:val="Heading2"/>
        <w:rPr>
          <w:rFonts w:ascii="Times New Roman" w:hAnsi="Times New Roman" w:cs="Times New Roman"/>
          <w:i/>
          <w:iCs/>
          <w:color w:val="000000" w:themeColor="text1"/>
          <w:sz w:val="24"/>
          <w:szCs w:val="24"/>
        </w:rPr>
      </w:pPr>
      <w:bookmarkStart w:id="7" w:name="_Toc216144027"/>
      <w:r w:rsidRPr="00B7057D">
        <w:rPr>
          <w:rFonts w:ascii="Times New Roman" w:hAnsi="Times New Roman" w:cs="Times New Roman"/>
          <w:i/>
          <w:iCs/>
          <w:color w:val="000000" w:themeColor="text1"/>
          <w:sz w:val="24"/>
          <w:szCs w:val="24"/>
        </w:rPr>
        <w:t>The Special Educational Needs and Disability Regulations 2014</w:t>
      </w:r>
      <w:bookmarkEnd w:id="7"/>
    </w:p>
    <w:p w14:paraId="01CA873F" w14:textId="77777777" w:rsidR="00BD5A95" w:rsidRPr="00BD5A95" w:rsidRDefault="00BD5A95" w:rsidP="00A574EC"/>
    <w:p w14:paraId="62A1FAA1" w14:textId="3BEFEE61" w:rsidR="000B037C" w:rsidRPr="00A93FEF"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Reg.31 provides that:</w:t>
      </w:r>
    </w:p>
    <w:p w14:paraId="7B18EAE5" w14:textId="77777777" w:rsidR="000B037C" w:rsidRPr="00B7057D" w:rsidRDefault="000B037C" w:rsidP="00A574EC">
      <w:pPr>
        <w:pStyle w:val="Indent1"/>
        <w:spacing w:after="120" w:line="240" w:lineRule="auto"/>
        <w:ind w:left="720" w:firstLine="0"/>
        <w:rPr>
          <w:rFonts w:ascii="Times New Roman" w:hAnsi="Times New Roman" w:cs="Times New Roman"/>
          <w:color w:val="0D0D0D" w:themeColor="text1" w:themeTint="F2"/>
          <w:sz w:val="24"/>
          <w:szCs w:val="24"/>
        </w:rPr>
      </w:pPr>
      <w:r w:rsidRPr="00ED46E2">
        <w:rPr>
          <w:rFonts w:ascii="Times New Roman" w:hAnsi="Times New Roman" w:cs="Times New Roman"/>
          <w:sz w:val="24"/>
          <w:szCs w:val="24"/>
        </w:rPr>
        <w:t xml:space="preserve">(1) Where a local authority is considering ceasing to maintain a child or young person’s EHC plan it must— </w:t>
      </w:r>
    </w:p>
    <w:p w14:paraId="05F84F6D" w14:textId="77777777" w:rsidR="000B037C" w:rsidRPr="00ED46E2" w:rsidRDefault="000B037C" w:rsidP="00A574EC">
      <w:pPr>
        <w:pStyle w:val="Indent1"/>
        <w:spacing w:after="120" w:line="240" w:lineRule="auto"/>
        <w:ind w:left="1593" w:firstLine="0"/>
        <w:rPr>
          <w:rFonts w:ascii="Times New Roman" w:hAnsi="Times New Roman" w:cs="Times New Roman"/>
          <w:sz w:val="24"/>
          <w:szCs w:val="24"/>
        </w:rPr>
      </w:pPr>
      <w:r w:rsidRPr="00ED46E2">
        <w:rPr>
          <w:rFonts w:ascii="Times New Roman" w:hAnsi="Times New Roman" w:cs="Times New Roman"/>
          <w:sz w:val="24"/>
          <w:szCs w:val="24"/>
        </w:rPr>
        <w:t xml:space="preserve">a) inform the child’s parent or the young person that it is considering ceasing to maintain the child or young person’s EHC plan; and </w:t>
      </w:r>
    </w:p>
    <w:p w14:paraId="220BC25F" w14:textId="77777777" w:rsidR="000B037C" w:rsidRPr="00ED46E2" w:rsidRDefault="000B037C" w:rsidP="00A574EC">
      <w:pPr>
        <w:pStyle w:val="Indent1"/>
        <w:spacing w:after="120" w:line="240" w:lineRule="auto"/>
        <w:ind w:left="873" w:firstLine="720"/>
        <w:rPr>
          <w:rFonts w:ascii="Times New Roman" w:hAnsi="Times New Roman" w:cs="Times New Roman"/>
          <w:sz w:val="24"/>
          <w:szCs w:val="24"/>
        </w:rPr>
      </w:pPr>
      <w:r w:rsidRPr="00ED46E2">
        <w:rPr>
          <w:rFonts w:ascii="Times New Roman" w:hAnsi="Times New Roman" w:cs="Times New Roman"/>
          <w:sz w:val="24"/>
          <w:szCs w:val="24"/>
        </w:rPr>
        <w:t xml:space="preserve">b) consult the child’s parent or the young person; </w:t>
      </w:r>
    </w:p>
    <w:p w14:paraId="382C6BB6" w14:textId="77777777" w:rsidR="000B037C" w:rsidRPr="00ED46E2" w:rsidRDefault="000B037C" w:rsidP="00A574EC">
      <w:pPr>
        <w:pStyle w:val="Indent1"/>
        <w:spacing w:after="120" w:line="240" w:lineRule="auto"/>
        <w:ind w:left="1593" w:firstLine="0"/>
        <w:rPr>
          <w:rFonts w:ascii="Times New Roman" w:hAnsi="Times New Roman" w:cs="Times New Roman"/>
          <w:sz w:val="24"/>
          <w:szCs w:val="24"/>
        </w:rPr>
      </w:pPr>
      <w:r w:rsidRPr="00ED46E2">
        <w:rPr>
          <w:rFonts w:ascii="Times New Roman" w:hAnsi="Times New Roman" w:cs="Times New Roman"/>
          <w:sz w:val="24"/>
          <w:szCs w:val="24"/>
        </w:rPr>
        <w:t xml:space="preserve">c) consult the head teacher, principal or equivalent person at the educational institution that is named in the EHC plan. </w:t>
      </w:r>
    </w:p>
    <w:p w14:paraId="1B2CFD9C" w14:textId="77777777" w:rsidR="000B037C" w:rsidRPr="00ED46E2" w:rsidRDefault="000B037C" w:rsidP="00A574EC">
      <w:pPr>
        <w:pStyle w:val="Indent1"/>
        <w:spacing w:after="120" w:line="240" w:lineRule="auto"/>
        <w:ind w:left="720" w:firstLine="0"/>
        <w:rPr>
          <w:rFonts w:ascii="Times New Roman" w:hAnsi="Times New Roman" w:cs="Times New Roman"/>
          <w:sz w:val="24"/>
          <w:szCs w:val="24"/>
        </w:rPr>
      </w:pPr>
      <w:r w:rsidRPr="00ED46E2">
        <w:rPr>
          <w:rFonts w:ascii="Times New Roman" w:hAnsi="Times New Roman" w:cs="Times New Roman"/>
          <w:sz w:val="24"/>
          <w:szCs w:val="24"/>
        </w:rPr>
        <w:t xml:space="preserve">(2) Where, following that consultation the local authority determines to cease to maintain the child or young person’s EHC plan, it must notify the child’s parent or the young person, the institution named in the child or young person’s EHC plan and the responsible commissioning body of that decision. </w:t>
      </w:r>
    </w:p>
    <w:p w14:paraId="280A1101" w14:textId="77777777" w:rsidR="000B037C" w:rsidRPr="00ED46E2" w:rsidRDefault="000B037C" w:rsidP="00A574EC">
      <w:pPr>
        <w:pStyle w:val="Indent1"/>
        <w:spacing w:after="120" w:line="240" w:lineRule="auto"/>
        <w:ind w:left="720" w:firstLine="0"/>
        <w:rPr>
          <w:rFonts w:ascii="Times New Roman" w:hAnsi="Times New Roman" w:cs="Times New Roman"/>
          <w:sz w:val="24"/>
          <w:szCs w:val="24"/>
        </w:rPr>
      </w:pPr>
      <w:r w:rsidRPr="00ED46E2">
        <w:rPr>
          <w:rFonts w:ascii="Times New Roman" w:hAnsi="Times New Roman" w:cs="Times New Roman"/>
          <w:sz w:val="24"/>
          <w:szCs w:val="24"/>
        </w:rPr>
        <w:t xml:space="preserve">(3) When notifying the child’s parent or the young person of its decision to cease to maintain the EHC plan, it must also notify them of— </w:t>
      </w:r>
    </w:p>
    <w:p w14:paraId="253B2A35" w14:textId="77777777" w:rsidR="000B037C" w:rsidRPr="00ED46E2" w:rsidRDefault="000B037C" w:rsidP="00A574EC">
      <w:pPr>
        <w:pStyle w:val="Indent1"/>
        <w:spacing w:after="120" w:line="240" w:lineRule="auto"/>
        <w:ind w:left="873" w:firstLine="720"/>
        <w:rPr>
          <w:rFonts w:ascii="Times New Roman" w:hAnsi="Times New Roman" w:cs="Times New Roman"/>
          <w:sz w:val="24"/>
          <w:szCs w:val="24"/>
        </w:rPr>
      </w:pPr>
      <w:r w:rsidRPr="00ED46E2">
        <w:rPr>
          <w:rFonts w:ascii="Times New Roman" w:hAnsi="Times New Roman" w:cs="Times New Roman"/>
          <w:sz w:val="24"/>
          <w:szCs w:val="24"/>
        </w:rPr>
        <w:t>a) their right to appeal that decision;</w:t>
      </w:r>
    </w:p>
    <w:p w14:paraId="69CEFABC" w14:textId="77777777" w:rsidR="000B037C" w:rsidRPr="00ED46E2" w:rsidRDefault="000B037C" w:rsidP="00A574EC">
      <w:pPr>
        <w:pStyle w:val="Indent1"/>
        <w:spacing w:after="120" w:line="240" w:lineRule="auto"/>
        <w:ind w:left="873" w:firstLine="720"/>
        <w:rPr>
          <w:rFonts w:ascii="Times New Roman" w:hAnsi="Times New Roman" w:cs="Times New Roman"/>
          <w:sz w:val="24"/>
          <w:szCs w:val="24"/>
        </w:rPr>
      </w:pPr>
      <w:r w:rsidRPr="00ED46E2">
        <w:rPr>
          <w:rFonts w:ascii="Times New Roman" w:hAnsi="Times New Roman" w:cs="Times New Roman"/>
          <w:sz w:val="24"/>
          <w:szCs w:val="24"/>
        </w:rPr>
        <w:t xml:space="preserve">b) the time limits for doing so; </w:t>
      </w:r>
    </w:p>
    <w:p w14:paraId="4475E313" w14:textId="77777777" w:rsidR="000B037C" w:rsidRPr="00ED46E2" w:rsidRDefault="000B037C" w:rsidP="00A574EC">
      <w:pPr>
        <w:pStyle w:val="Indent1"/>
        <w:spacing w:after="120" w:line="240" w:lineRule="auto"/>
        <w:ind w:left="873" w:firstLine="720"/>
        <w:rPr>
          <w:rFonts w:ascii="Times New Roman" w:hAnsi="Times New Roman" w:cs="Times New Roman"/>
          <w:sz w:val="24"/>
          <w:szCs w:val="24"/>
        </w:rPr>
      </w:pPr>
      <w:r w:rsidRPr="00ED46E2">
        <w:rPr>
          <w:rFonts w:ascii="Times New Roman" w:hAnsi="Times New Roman" w:cs="Times New Roman"/>
          <w:sz w:val="24"/>
          <w:szCs w:val="24"/>
        </w:rPr>
        <w:t xml:space="preserve">c) the information concerning mediation, set out in regulation 32; and </w:t>
      </w:r>
    </w:p>
    <w:p w14:paraId="6C327B64" w14:textId="1BA07A9B" w:rsidR="000B037C" w:rsidRPr="00B91CA7" w:rsidRDefault="000B037C" w:rsidP="00B91CA7">
      <w:pPr>
        <w:pStyle w:val="Indent1"/>
        <w:spacing w:line="240" w:lineRule="auto"/>
        <w:ind w:left="1593" w:firstLine="0"/>
        <w:rPr>
          <w:rFonts w:ascii="Times New Roman" w:hAnsi="Times New Roman" w:cs="Times New Roman"/>
          <w:sz w:val="24"/>
          <w:szCs w:val="24"/>
        </w:rPr>
      </w:pPr>
      <w:r w:rsidRPr="00ED46E2">
        <w:rPr>
          <w:rFonts w:ascii="Times New Roman" w:hAnsi="Times New Roman" w:cs="Times New Roman"/>
          <w:sz w:val="24"/>
          <w:szCs w:val="24"/>
        </w:rPr>
        <w:t>d) the availability of— (i) disagreement resolution services; and (ii) advice and information about matters relating to the special educational needs of children and young people.</w:t>
      </w:r>
    </w:p>
    <w:p w14:paraId="11918510" w14:textId="77777777" w:rsidR="000B037C" w:rsidRPr="00B836ED" w:rsidRDefault="000B037C" w:rsidP="00A574EC">
      <w:pPr>
        <w:pStyle w:val="Heading2"/>
        <w:rPr>
          <w:rFonts w:ascii="Times New Roman" w:hAnsi="Times New Roman" w:cs="Times New Roman"/>
          <w:i/>
          <w:iCs/>
          <w:color w:val="000000" w:themeColor="text1"/>
          <w:sz w:val="24"/>
          <w:szCs w:val="24"/>
        </w:rPr>
      </w:pPr>
      <w:bookmarkStart w:id="8" w:name="_Toc216144029"/>
      <w:r w:rsidRPr="00B836ED">
        <w:rPr>
          <w:rFonts w:ascii="Times New Roman" w:hAnsi="Times New Roman" w:cs="Times New Roman"/>
          <w:i/>
          <w:iCs/>
          <w:color w:val="000000" w:themeColor="text1"/>
          <w:sz w:val="24"/>
          <w:szCs w:val="24"/>
        </w:rPr>
        <w:t>The SEND Code of Practice</w:t>
      </w:r>
      <w:bookmarkEnd w:id="8"/>
    </w:p>
    <w:p w14:paraId="1060A41A" w14:textId="77777777" w:rsidR="00BD5A95" w:rsidRPr="00BD5A95" w:rsidRDefault="00BD5A95" w:rsidP="00A574EC"/>
    <w:p w14:paraId="16AA7648" w14:textId="65452CFA" w:rsidR="000B037C" w:rsidRPr="00A93FEF"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The SEND Code of Practice provides</w:t>
      </w:r>
      <w:r w:rsidR="00D87B60">
        <w:rPr>
          <w:rFonts w:ascii="Times New Roman" w:hAnsi="Times New Roman" w:cs="Times New Roman"/>
          <w:sz w:val="24"/>
          <w:szCs w:val="24"/>
        </w:rPr>
        <w:t>:</w:t>
      </w:r>
    </w:p>
    <w:p w14:paraId="248855DD" w14:textId="30603617" w:rsidR="000B037C" w:rsidRPr="00A93FEF" w:rsidRDefault="000B037C" w:rsidP="00A574EC">
      <w:pPr>
        <w:pStyle w:val="Indent1"/>
        <w:spacing w:after="120" w:line="240" w:lineRule="auto"/>
        <w:ind w:left="720" w:firstLine="0"/>
        <w:rPr>
          <w:rFonts w:ascii="Times New Roman" w:hAnsi="Times New Roman" w:cs="Times New Roman"/>
          <w:b/>
          <w:bCs/>
          <w:sz w:val="24"/>
          <w:szCs w:val="24"/>
        </w:rPr>
      </w:pPr>
      <w:r w:rsidRPr="00A93FEF">
        <w:rPr>
          <w:rFonts w:ascii="Times New Roman" w:hAnsi="Times New Roman" w:cs="Times New Roman"/>
          <w:b/>
          <w:bCs/>
          <w:sz w:val="24"/>
          <w:szCs w:val="24"/>
        </w:rPr>
        <w:t>Maintaining special educational provision in EHC plans</w:t>
      </w:r>
    </w:p>
    <w:p w14:paraId="1D52D17C" w14:textId="77777777" w:rsidR="000B037C" w:rsidRPr="00F92431" w:rsidRDefault="000B037C" w:rsidP="00A574EC">
      <w:pPr>
        <w:pStyle w:val="Indent1"/>
        <w:spacing w:after="120" w:line="240" w:lineRule="auto"/>
        <w:ind w:left="720" w:firstLine="0"/>
        <w:rPr>
          <w:rFonts w:ascii="Times New Roman" w:hAnsi="Times New Roman" w:cs="Times New Roman"/>
          <w:b/>
          <w:bCs/>
          <w:sz w:val="24"/>
          <w:szCs w:val="24"/>
        </w:rPr>
      </w:pPr>
      <w:r w:rsidRPr="00F92431">
        <w:rPr>
          <w:rFonts w:ascii="Times New Roman" w:hAnsi="Times New Roman" w:cs="Times New Roman"/>
          <w:b/>
          <w:bCs/>
          <w:sz w:val="24"/>
          <w:szCs w:val="24"/>
        </w:rPr>
        <w:t xml:space="preserve">Section 42 of the Children and Families Act 2014 </w:t>
      </w:r>
    </w:p>
    <w:p w14:paraId="0D3B3F7E" w14:textId="1C516923" w:rsidR="000B037C" w:rsidRPr="00ED46E2" w:rsidRDefault="000B037C" w:rsidP="00A574EC">
      <w:pPr>
        <w:pStyle w:val="Indent1"/>
        <w:spacing w:line="240" w:lineRule="auto"/>
        <w:ind w:left="720" w:firstLine="0"/>
        <w:rPr>
          <w:rFonts w:ascii="Times New Roman" w:hAnsi="Times New Roman" w:cs="Times New Roman"/>
          <w:sz w:val="24"/>
          <w:szCs w:val="24"/>
        </w:rPr>
      </w:pPr>
      <w:r w:rsidRPr="00ED46E2">
        <w:rPr>
          <w:rFonts w:ascii="Times New Roman" w:hAnsi="Times New Roman" w:cs="Times New Roman"/>
          <w:sz w:val="24"/>
          <w:szCs w:val="24"/>
        </w:rPr>
        <w:t>9.133 Where the child’s parent or the young person makes alternative arrangements, the local authority must satisfy itself that those arrangements are suitable before it is relieved of its duty to secure the provision. It can conclude that those arrangements are suitable only if there is a realistic possibility of them being funded for a reasonable period of time. If it is satisfied, the authority need not name its nominated school or college in the EHC plan and may specify only the type of provision. This is to avoid the school or other institution having to keep a place free that the child’s parent or the young person has no intention of taking up</w:t>
      </w:r>
      <w:r w:rsidR="00ED46E2" w:rsidRPr="00ED46E2">
        <w:rPr>
          <w:rFonts w:ascii="Times New Roman" w:hAnsi="Times New Roman" w:cs="Times New Roman"/>
          <w:sz w:val="24"/>
          <w:szCs w:val="24"/>
        </w:rPr>
        <w:t>.</w:t>
      </w:r>
    </w:p>
    <w:p w14:paraId="34FF7627" w14:textId="77777777" w:rsidR="000B037C" w:rsidRPr="00A93FEF" w:rsidRDefault="000B037C" w:rsidP="00A574EC">
      <w:pPr>
        <w:pStyle w:val="Indent1"/>
        <w:spacing w:line="240" w:lineRule="auto"/>
        <w:ind w:left="720" w:firstLine="0"/>
        <w:rPr>
          <w:rFonts w:ascii="Times New Roman" w:hAnsi="Times New Roman" w:cs="Times New Roman"/>
          <w:b/>
          <w:bCs/>
          <w:sz w:val="24"/>
          <w:szCs w:val="24"/>
        </w:rPr>
      </w:pPr>
      <w:r w:rsidRPr="00A93FEF">
        <w:rPr>
          <w:rFonts w:ascii="Times New Roman" w:hAnsi="Times New Roman" w:cs="Times New Roman"/>
          <w:b/>
          <w:bCs/>
          <w:sz w:val="24"/>
          <w:szCs w:val="24"/>
        </w:rPr>
        <w:t>10. Children and young people in specific circumstances</w:t>
      </w:r>
    </w:p>
    <w:p w14:paraId="4764848B" w14:textId="77777777" w:rsidR="000B037C" w:rsidRPr="00A93FEF" w:rsidRDefault="000B037C" w:rsidP="00A574EC">
      <w:pPr>
        <w:pStyle w:val="Indent1"/>
        <w:spacing w:line="240" w:lineRule="auto"/>
        <w:ind w:left="720" w:firstLine="0"/>
        <w:rPr>
          <w:rFonts w:ascii="Times New Roman" w:hAnsi="Times New Roman" w:cs="Times New Roman"/>
          <w:b/>
          <w:bCs/>
          <w:sz w:val="24"/>
          <w:szCs w:val="24"/>
        </w:rPr>
      </w:pPr>
      <w:r w:rsidRPr="00A93FEF">
        <w:rPr>
          <w:rFonts w:ascii="Times New Roman" w:hAnsi="Times New Roman" w:cs="Times New Roman"/>
          <w:b/>
          <w:bCs/>
          <w:sz w:val="24"/>
          <w:szCs w:val="24"/>
        </w:rPr>
        <w:t>Children of Service Personnel</w:t>
      </w:r>
    </w:p>
    <w:p w14:paraId="763DA22F" w14:textId="77777777" w:rsidR="000B037C" w:rsidRPr="00ED46E2" w:rsidRDefault="000B037C" w:rsidP="00A574EC">
      <w:pPr>
        <w:pStyle w:val="Indent1"/>
        <w:spacing w:line="240" w:lineRule="auto"/>
        <w:ind w:left="720" w:firstLine="0"/>
        <w:rPr>
          <w:rFonts w:ascii="Times New Roman" w:hAnsi="Times New Roman" w:cs="Times New Roman"/>
          <w:sz w:val="24"/>
          <w:szCs w:val="24"/>
        </w:rPr>
      </w:pPr>
      <w:r w:rsidRPr="00ED46E2">
        <w:rPr>
          <w:rFonts w:ascii="Times New Roman" w:hAnsi="Times New Roman" w:cs="Times New Roman"/>
          <w:sz w:val="24"/>
          <w:szCs w:val="24"/>
        </w:rPr>
        <w:t xml:space="preserve">10.53 The Children’s Education Advisory Service (CEAS) within the Ministry of Defence provides advice and guidance to Service parents, educational establishments and local authorities on educational issues relating to Service children, including issues relating to SEN. Service Children’s Education (SCE) provides mainstream education for Service children in some overseas locations. As the education, health and social care resources available overseas are different from the UK, MoD services complete an MoD Assessment of Supportability Overseas (MASO) for all Service children with complex needs before an overseas posting is agreed. Personal Budgets agreed in the UK cannot be transferred to SCE locations overseas. </w:t>
      </w:r>
    </w:p>
    <w:p w14:paraId="3583CF2C" w14:textId="77777777" w:rsidR="000B037C" w:rsidRPr="00ED46E2" w:rsidRDefault="000B037C" w:rsidP="00A574EC">
      <w:pPr>
        <w:pStyle w:val="Indent1"/>
        <w:spacing w:line="240" w:lineRule="auto"/>
        <w:ind w:left="720" w:firstLine="0"/>
        <w:rPr>
          <w:rFonts w:ascii="Times New Roman" w:hAnsi="Times New Roman" w:cs="Times New Roman"/>
          <w:sz w:val="24"/>
          <w:szCs w:val="24"/>
        </w:rPr>
      </w:pPr>
      <w:r w:rsidRPr="00ED46E2">
        <w:rPr>
          <w:rFonts w:ascii="Times New Roman" w:hAnsi="Times New Roman" w:cs="Times New Roman"/>
          <w:sz w:val="24"/>
          <w:szCs w:val="24"/>
        </w:rPr>
        <w:t xml:space="preserve">10.54 Children whose parent(s) are Service personnel may face difficulties that are unique to the nature of their serving parent’s employment. These needs may arise from: </w:t>
      </w:r>
    </w:p>
    <w:p w14:paraId="1CAFAC9E" w14:textId="77777777" w:rsidR="000B037C" w:rsidRPr="00ED46E2" w:rsidRDefault="000B037C" w:rsidP="00A574EC">
      <w:pPr>
        <w:pStyle w:val="Indent1"/>
        <w:spacing w:line="240" w:lineRule="auto"/>
        <w:ind w:left="720" w:firstLine="0"/>
        <w:rPr>
          <w:rFonts w:ascii="Times New Roman" w:hAnsi="Times New Roman" w:cs="Times New Roman"/>
          <w:sz w:val="24"/>
          <w:szCs w:val="24"/>
        </w:rPr>
      </w:pPr>
      <w:r w:rsidRPr="00ED46E2">
        <w:rPr>
          <w:rFonts w:ascii="Times New Roman" w:hAnsi="Times New Roman" w:cs="Times New Roman"/>
          <w:sz w:val="24"/>
          <w:szCs w:val="24"/>
        </w:rPr>
        <w:t xml:space="preserve">• service induced mobility: Service personnel may relocate more often than the rest of the population and, sometimes, at short notice. Such transitions should be well managed to avoid Service children with SEN experiencing delays in having their needs assessed and met </w:t>
      </w:r>
    </w:p>
    <w:p w14:paraId="6D74C22B" w14:textId="674770A7" w:rsidR="000B037C" w:rsidRPr="00B91CA7" w:rsidRDefault="000B037C" w:rsidP="00B91CA7">
      <w:pPr>
        <w:pStyle w:val="Indent1"/>
        <w:spacing w:line="240" w:lineRule="auto"/>
        <w:ind w:left="720" w:firstLine="0"/>
        <w:rPr>
          <w:rFonts w:ascii="Times New Roman" w:hAnsi="Times New Roman" w:cs="Times New Roman"/>
          <w:sz w:val="24"/>
          <w:szCs w:val="24"/>
        </w:rPr>
      </w:pPr>
      <w:r w:rsidRPr="00ED46E2">
        <w:rPr>
          <w:rFonts w:ascii="Times New Roman" w:hAnsi="Times New Roman" w:cs="Times New Roman"/>
          <w:sz w:val="24"/>
          <w:szCs w:val="24"/>
        </w:rPr>
        <w:t>• the deployment of serving parents to operational arenas, while not constituting SEN in itself, may result in a Service child experiencing anxiety, dips in educational performance and/or emotional difficulties. Children may also be affected similarly by siblings’ deployment</w:t>
      </w:r>
    </w:p>
    <w:p w14:paraId="3349E0CF" w14:textId="77777777" w:rsidR="000B037C" w:rsidRPr="00A93FEF" w:rsidRDefault="000B037C" w:rsidP="00A574EC">
      <w:pPr>
        <w:pStyle w:val="Indent1"/>
        <w:spacing w:after="120" w:line="240" w:lineRule="auto"/>
        <w:ind w:left="720" w:firstLine="0"/>
        <w:rPr>
          <w:rFonts w:ascii="Times New Roman" w:hAnsi="Times New Roman" w:cs="Times New Roman"/>
          <w:b/>
          <w:bCs/>
          <w:sz w:val="24"/>
          <w:szCs w:val="24"/>
        </w:rPr>
      </w:pPr>
      <w:r w:rsidRPr="00A93FEF">
        <w:rPr>
          <w:rFonts w:ascii="Times New Roman" w:hAnsi="Times New Roman" w:cs="Times New Roman"/>
          <w:b/>
          <w:bCs/>
          <w:sz w:val="24"/>
          <w:szCs w:val="24"/>
        </w:rPr>
        <w:t>Action to take in respect of Service children with SEN</w:t>
      </w:r>
    </w:p>
    <w:p w14:paraId="6CF7AE9D" w14:textId="6460BC37" w:rsidR="000B037C" w:rsidRPr="00F37AA6" w:rsidRDefault="000B037C" w:rsidP="00A574EC">
      <w:pPr>
        <w:pStyle w:val="Indent1"/>
        <w:spacing w:line="240" w:lineRule="auto"/>
        <w:ind w:left="720" w:firstLine="0"/>
        <w:rPr>
          <w:rFonts w:ascii="Times New Roman" w:hAnsi="Times New Roman" w:cs="Times New Roman"/>
          <w:sz w:val="24"/>
          <w:szCs w:val="24"/>
        </w:rPr>
      </w:pPr>
      <w:r w:rsidRPr="00ED46E2">
        <w:rPr>
          <w:rFonts w:ascii="Times New Roman" w:hAnsi="Times New Roman" w:cs="Times New Roman"/>
          <w:sz w:val="24"/>
          <w:szCs w:val="24"/>
        </w:rPr>
        <w:t>10.55 In having regard to this Code of Practice and in meeting the aspirations of the Armed Forces Covenant, which attempts to eliminate or mitigate some of the potential disadvantages faced by Service families, all those with statutory responsibilities towards Service children with SEN should ensure that the impact of their policies, administrative processes and patterns of provision do not disadvantage such children because of their Service-related lifestyle.</w:t>
      </w:r>
    </w:p>
    <w:p w14:paraId="57FF609B" w14:textId="77777777" w:rsidR="000A4E77" w:rsidRPr="00A92C13" w:rsidRDefault="000B037C" w:rsidP="00A574EC">
      <w:pPr>
        <w:pStyle w:val="Heading2"/>
        <w:rPr>
          <w:rFonts w:ascii="Times New Roman" w:hAnsi="Times New Roman" w:cs="Times New Roman"/>
          <w:i/>
          <w:iCs/>
          <w:color w:val="000000" w:themeColor="text1"/>
          <w:sz w:val="24"/>
          <w:szCs w:val="24"/>
        </w:rPr>
      </w:pPr>
      <w:bookmarkStart w:id="9" w:name="_Toc216144030"/>
      <w:r w:rsidRPr="00A92C13">
        <w:rPr>
          <w:rFonts w:ascii="Times New Roman" w:hAnsi="Times New Roman" w:cs="Times New Roman"/>
          <w:i/>
          <w:iCs/>
          <w:color w:val="000000" w:themeColor="text1"/>
          <w:sz w:val="24"/>
          <w:szCs w:val="24"/>
        </w:rPr>
        <w:t>The Armed Forces Act 2006</w:t>
      </w:r>
      <w:bookmarkEnd w:id="9"/>
    </w:p>
    <w:p w14:paraId="74F2A0E9" w14:textId="0FE4CFAA" w:rsidR="000B037C" w:rsidRPr="00A93FEF" w:rsidRDefault="000B037C" w:rsidP="00A574EC">
      <w:pPr>
        <w:pStyle w:val="Heading2"/>
        <w:rPr>
          <w:rFonts w:ascii="Times New Roman" w:hAnsi="Times New Roman" w:cs="Times New Roman"/>
          <w:sz w:val="24"/>
          <w:szCs w:val="24"/>
        </w:rPr>
      </w:pPr>
      <w:r w:rsidRPr="00A93FEF">
        <w:rPr>
          <w:rFonts w:ascii="Times New Roman" w:hAnsi="Times New Roman" w:cs="Times New Roman"/>
          <w:sz w:val="24"/>
          <w:szCs w:val="24"/>
        </w:rPr>
        <w:t xml:space="preserve"> </w:t>
      </w:r>
    </w:p>
    <w:p w14:paraId="6BAEB00A" w14:textId="35630C75" w:rsidR="000B037C" w:rsidRPr="00A93FEF"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 xml:space="preserve">The Armed Forces Act 2006 </w:t>
      </w:r>
      <w:r w:rsidR="00150FA2">
        <w:rPr>
          <w:rFonts w:ascii="Times New Roman" w:hAnsi="Times New Roman" w:cs="Times New Roman"/>
          <w:sz w:val="24"/>
          <w:szCs w:val="24"/>
        </w:rPr>
        <w:t>provides</w:t>
      </w:r>
      <w:r w:rsidRPr="00A93FEF">
        <w:rPr>
          <w:rFonts w:ascii="Times New Roman" w:hAnsi="Times New Roman" w:cs="Times New Roman"/>
          <w:sz w:val="24"/>
          <w:szCs w:val="24"/>
        </w:rPr>
        <w:t>:</w:t>
      </w:r>
    </w:p>
    <w:p w14:paraId="27A472E9" w14:textId="77777777" w:rsidR="000B037C" w:rsidRPr="00A93FEF" w:rsidRDefault="000B037C" w:rsidP="00A574EC">
      <w:pPr>
        <w:pStyle w:val="Indent1"/>
        <w:spacing w:line="240" w:lineRule="auto"/>
        <w:ind w:left="720" w:firstLine="0"/>
        <w:rPr>
          <w:rFonts w:ascii="Times New Roman" w:hAnsi="Times New Roman" w:cs="Times New Roman"/>
          <w:b/>
          <w:bCs/>
          <w:sz w:val="24"/>
          <w:szCs w:val="24"/>
        </w:rPr>
      </w:pPr>
      <w:r w:rsidRPr="00A93FEF">
        <w:rPr>
          <w:rFonts w:ascii="Times New Roman" w:hAnsi="Times New Roman" w:cs="Times New Roman"/>
          <w:b/>
          <w:bCs/>
          <w:sz w:val="24"/>
          <w:szCs w:val="24"/>
        </w:rPr>
        <w:t>343AA Due regard to principles: England</w:t>
      </w:r>
    </w:p>
    <w:p w14:paraId="6AD9111C" w14:textId="77777777" w:rsidR="000B037C" w:rsidRPr="00ED46E2" w:rsidRDefault="000B037C" w:rsidP="00A574EC">
      <w:pPr>
        <w:pStyle w:val="Indent1"/>
        <w:spacing w:after="120" w:line="240" w:lineRule="auto"/>
        <w:ind w:left="720" w:firstLine="0"/>
        <w:rPr>
          <w:rFonts w:ascii="Times New Roman" w:hAnsi="Times New Roman" w:cs="Times New Roman"/>
          <w:sz w:val="24"/>
          <w:szCs w:val="24"/>
        </w:rPr>
      </w:pPr>
      <w:r w:rsidRPr="00ED46E2">
        <w:rPr>
          <w:rFonts w:ascii="Times New Roman" w:hAnsi="Times New Roman" w:cs="Times New Roman"/>
          <w:sz w:val="24"/>
          <w:szCs w:val="24"/>
        </w:rPr>
        <w:t xml:space="preserve">(1) In exercising in relation to England a relevant function, a person or body specified in subsection (3) must have due regard to— </w:t>
      </w:r>
    </w:p>
    <w:p w14:paraId="24724F6B" w14:textId="77777777" w:rsidR="000B037C" w:rsidRPr="00ED46E2" w:rsidRDefault="000B037C" w:rsidP="00A574EC">
      <w:pPr>
        <w:pStyle w:val="Indent1"/>
        <w:spacing w:after="120" w:line="240" w:lineRule="auto"/>
        <w:ind w:left="873" w:firstLine="720"/>
        <w:rPr>
          <w:rFonts w:ascii="Times New Roman" w:hAnsi="Times New Roman" w:cs="Times New Roman"/>
          <w:sz w:val="24"/>
          <w:szCs w:val="24"/>
        </w:rPr>
      </w:pPr>
      <w:r w:rsidRPr="00ED46E2">
        <w:rPr>
          <w:rFonts w:ascii="Times New Roman" w:hAnsi="Times New Roman" w:cs="Times New Roman"/>
          <w:sz w:val="24"/>
          <w:szCs w:val="24"/>
        </w:rPr>
        <w:t xml:space="preserve">(a) the unique obligations of, and sacrifices made by, the armed forces, </w:t>
      </w:r>
    </w:p>
    <w:p w14:paraId="505D733E" w14:textId="77777777" w:rsidR="000B037C" w:rsidRPr="00ED46E2" w:rsidRDefault="000B037C" w:rsidP="00A574EC">
      <w:pPr>
        <w:pStyle w:val="Indent1"/>
        <w:spacing w:after="120" w:line="240" w:lineRule="auto"/>
        <w:ind w:left="1593" w:firstLine="0"/>
        <w:rPr>
          <w:rFonts w:ascii="Times New Roman" w:hAnsi="Times New Roman" w:cs="Times New Roman"/>
          <w:sz w:val="24"/>
          <w:szCs w:val="24"/>
        </w:rPr>
      </w:pPr>
      <w:r w:rsidRPr="00ED46E2">
        <w:rPr>
          <w:rFonts w:ascii="Times New Roman" w:hAnsi="Times New Roman" w:cs="Times New Roman"/>
          <w:sz w:val="24"/>
          <w:szCs w:val="24"/>
        </w:rPr>
        <w:t xml:space="preserve">(b) the principle that it is desirable to remove disadvantages arising for service people from membership, or former membership, of the armed forces, and </w:t>
      </w:r>
    </w:p>
    <w:p w14:paraId="2C1AF448" w14:textId="77777777" w:rsidR="000B037C" w:rsidRPr="00ED46E2" w:rsidRDefault="000B037C" w:rsidP="00A574EC">
      <w:pPr>
        <w:pStyle w:val="Indent1"/>
        <w:spacing w:after="120" w:line="240" w:lineRule="auto"/>
        <w:ind w:left="1593" w:firstLine="0"/>
        <w:rPr>
          <w:rFonts w:ascii="Times New Roman" w:hAnsi="Times New Roman" w:cs="Times New Roman"/>
          <w:sz w:val="24"/>
          <w:szCs w:val="24"/>
        </w:rPr>
      </w:pPr>
      <w:r w:rsidRPr="00ED46E2">
        <w:rPr>
          <w:rFonts w:ascii="Times New Roman" w:hAnsi="Times New Roman" w:cs="Times New Roman"/>
          <w:sz w:val="24"/>
          <w:szCs w:val="24"/>
        </w:rPr>
        <w:t xml:space="preserve">(c) the principle that special provision for service people may be justified by the effects on such people of membership, or former membership, of the armed forces. </w:t>
      </w:r>
    </w:p>
    <w:p w14:paraId="211A3112" w14:textId="77777777" w:rsidR="000B037C" w:rsidRPr="00ED46E2" w:rsidRDefault="000B037C" w:rsidP="00A574EC">
      <w:pPr>
        <w:pStyle w:val="Indent1"/>
        <w:spacing w:after="120" w:line="240" w:lineRule="auto"/>
        <w:ind w:left="720" w:firstLine="0"/>
        <w:rPr>
          <w:rFonts w:ascii="Times New Roman" w:hAnsi="Times New Roman" w:cs="Times New Roman"/>
          <w:sz w:val="24"/>
          <w:szCs w:val="24"/>
        </w:rPr>
      </w:pPr>
      <w:r w:rsidRPr="00ED46E2">
        <w:rPr>
          <w:rFonts w:ascii="Times New Roman" w:hAnsi="Times New Roman" w:cs="Times New Roman"/>
          <w:sz w:val="24"/>
          <w:szCs w:val="24"/>
        </w:rPr>
        <w:t xml:space="preserve">(2) In this section “relevant function”, in relation to a person or body specified in subsection (3), means— […] </w:t>
      </w:r>
    </w:p>
    <w:p w14:paraId="04D93AE3" w14:textId="77777777" w:rsidR="000B037C" w:rsidRPr="00ED46E2" w:rsidRDefault="000B037C" w:rsidP="00A574EC">
      <w:pPr>
        <w:pStyle w:val="Indent1"/>
        <w:spacing w:after="120" w:line="240" w:lineRule="auto"/>
        <w:ind w:left="873" w:firstLine="720"/>
        <w:rPr>
          <w:rFonts w:ascii="Times New Roman" w:hAnsi="Times New Roman" w:cs="Times New Roman"/>
          <w:sz w:val="24"/>
          <w:szCs w:val="24"/>
        </w:rPr>
      </w:pPr>
      <w:r w:rsidRPr="00ED46E2">
        <w:rPr>
          <w:rFonts w:ascii="Times New Roman" w:hAnsi="Times New Roman" w:cs="Times New Roman"/>
          <w:sz w:val="24"/>
          <w:szCs w:val="24"/>
        </w:rPr>
        <w:t>(c) a relevant education function […]</w:t>
      </w:r>
    </w:p>
    <w:p w14:paraId="1CB4C48C" w14:textId="77777777" w:rsidR="000B037C" w:rsidRPr="00ED46E2" w:rsidRDefault="000B037C" w:rsidP="00A574EC">
      <w:pPr>
        <w:pStyle w:val="Indent1"/>
        <w:spacing w:after="120" w:line="240" w:lineRule="auto"/>
        <w:ind w:left="720" w:firstLine="0"/>
        <w:rPr>
          <w:rFonts w:ascii="Times New Roman" w:hAnsi="Times New Roman" w:cs="Times New Roman"/>
          <w:sz w:val="24"/>
          <w:szCs w:val="24"/>
        </w:rPr>
      </w:pPr>
      <w:r w:rsidRPr="00ED46E2">
        <w:rPr>
          <w:rFonts w:ascii="Times New Roman" w:hAnsi="Times New Roman" w:cs="Times New Roman"/>
          <w:sz w:val="24"/>
          <w:szCs w:val="24"/>
        </w:rPr>
        <w:t xml:space="preserve">(3) The specified persons and bodies are— </w:t>
      </w:r>
    </w:p>
    <w:p w14:paraId="5DE4FD88" w14:textId="77777777" w:rsidR="000B037C" w:rsidRPr="00ED46E2" w:rsidRDefault="000B037C" w:rsidP="00A574EC">
      <w:pPr>
        <w:pStyle w:val="Indent1"/>
        <w:spacing w:after="120" w:line="240" w:lineRule="auto"/>
        <w:ind w:left="873" w:firstLine="720"/>
        <w:rPr>
          <w:rFonts w:ascii="Times New Roman" w:hAnsi="Times New Roman" w:cs="Times New Roman"/>
          <w:sz w:val="24"/>
          <w:szCs w:val="24"/>
        </w:rPr>
      </w:pPr>
      <w:r w:rsidRPr="00ED46E2">
        <w:rPr>
          <w:rFonts w:ascii="Times New Roman" w:hAnsi="Times New Roman" w:cs="Times New Roman"/>
          <w:sz w:val="24"/>
          <w:szCs w:val="24"/>
        </w:rPr>
        <w:t xml:space="preserve">(a) a local authority in England; … </w:t>
      </w:r>
    </w:p>
    <w:p w14:paraId="34DF3FF8" w14:textId="77777777" w:rsidR="000B037C" w:rsidRPr="00ED46E2" w:rsidRDefault="000B037C" w:rsidP="00A574EC">
      <w:pPr>
        <w:pStyle w:val="Indent1"/>
        <w:spacing w:after="120" w:line="240" w:lineRule="auto"/>
        <w:ind w:left="720" w:firstLine="0"/>
        <w:rPr>
          <w:rFonts w:ascii="Times New Roman" w:hAnsi="Times New Roman" w:cs="Times New Roman"/>
          <w:sz w:val="24"/>
          <w:szCs w:val="24"/>
        </w:rPr>
      </w:pPr>
      <w:r w:rsidRPr="00ED46E2">
        <w:rPr>
          <w:rFonts w:ascii="Times New Roman" w:hAnsi="Times New Roman" w:cs="Times New Roman"/>
          <w:sz w:val="24"/>
          <w:szCs w:val="24"/>
        </w:rPr>
        <w:t xml:space="preserve">(5) In this section “relevant education function” means a function under or by virtue of any of the following— </w:t>
      </w:r>
    </w:p>
    <w:p w14:paraId="73A5E6B5" w14:textId="77777777" w:rsidR="000B037C" w:rsidRPr="00ED46E2" w:rsidRDefault="000B037C" w:rsidP="00A574EC">
      <w:pPr>
        <w:pStyle w:val="Indent1"/>
        <w:spacing w:after="120" w:line="240" w:lineRule="auto"/>
        <w:ind w:left="873" w:firstLine="720"/>
        <w:rPr>
          <w:rFonts w:ascii="Times New Roman" w:hAnsi="Times New Roman" w:cs="Times New Roman"/>
          <w:sz w:val="24"/>
          <w:szCs w:val="24"/>
        </w:rPr>
      </w:pPr>
      <w:r w:rsidRPr="00ED46E2">
        <w:rPr>
          <w:rFonts w:ascii="Times New Roman" w:hAnsi="Times New Roman" w:cs="Times New Roman"/>
          <w:sz w:val="24"/>
          <w:szCs w:val="24"/>
        </w:rPr>
        <w:t xml:space="preserve">(a) the Education Act 1996; </w:t>
      </w:r>
    </w:p>
    <w:p w14:paraId="3E9090E2" w14:textId="77777777" w:rsidR="000B037C" w:rsidRPr="00ED46E2" w:rsidRDefault="000B037C" w:rsidP="00A574EC">
      <w:pPr>
        <w:pStyle w:val="Indent1"/>
        <w:spacing w:after="120" w:line="240" w:lineRule="auto"/>
        <w:ind w:left="873" w:firstLine="720"/>
        <w:rPr>
          <w:rFonts w:ascii="Times New Roman" w:hAnsi="Times New Roman" w:cs="Times New Roman"/>
          <w:sz w:val="24"/>
          <w:szCs w:val="24"/>
        </w:rPr>
      </w:pPr>
      <w:r w:rsidRPr="00ED46E2">
        <w:rPr>
          <w:rFonts w:ascii="Times New Roman" w:hAnsi="Times New Roman" w:cs="Times New Roman"/>
          <w:sz w:val="24"/>
          <w:szCs w:val="24"/>
        </w:rPr>
        <w:t xml:space="preserve">(b) Part 3 of the School Standards and Framework Act 1998 (school admissions); </w:t>
      </w:r>
    </w:p>
    <w:p w14:paraId="4B1313EE" w14:textId="77777777" w:rsidR="000B037C" w:rsidRPr="00ED46E2" w:rsidRDefault="000B037C" w:rsidP="00A574EC">
      <w:pPr>
        <w:pStyle w:val="Indent1"/>
        <w:spacing w:after="120" w:line="240" w:lineRule="auto"/>
        <w:ind w:left="1593" w:firstLine="0"/>
        <w:rPr>
          <w:rFonts w:ascii="Times New Roman" w:hAnsi="Times New Roman" w:cs="Times New Roman"/>
          <w:sz w:val="24"/>
          <w:szCs w:val="24"/>
        </w:rPr>
      </w:pPr>
      <w:r w:rsidRPr="00ED46E2">
        <w:rPr>
          <w:rFonts w:ascii="Times New Roman" w:hAnsi="Times New Roman" w:cs="Times New Roman"/>
          <w:sz w:val="24"/>
          <w:szCs w:val="24"/>
        </w:rPr>
        <w:t>(c) section 175 of the Education Act 2002 (duties of local authorities and governing bodies in relation to welfare of children);</w:t>
      </w:r>
    </w:p>
    <w:p w14:paraId="35F06588" w14:textId="77777777" w:rsidR="000B037C" w:rsidRPr="00A93FEF" w:rsidRDefault="000B037C" w:rsidP="00A574EC">
      <w:pPr>
        <w:pStyle w:val="Indent1"/>
        <w:spacing w:after="120" w:line="240" w:lineRule="auto"/>
        <w:ind w:left="1593" w:firstLine="0"/>
        <w:rPr>
          <w:rFonts w:ascii="Times New Roman" w:hAnsi="Times New Roman" w:cs="Times New Roman"/>
          <w:sz w:val="24"/>
          <w:szCs w:val="24"/>
        </w:rPr>
      </w:pPr>
      <w:r w:rsidRPr="00A93FEF">
        <w:rPr>
          <w:rFonts w:ascii="Times New Roman" w:hAnsi="Times New Roman" w:cs="Times New Roman"/>
          <w:sz w:val="24"/>
          <w:szCs w:val="24"/>
        </w:rPr>
        <w:t xml:space="preserve">(d) any provision of Part 3 of the Children and Families Act 2014, so far as it deals with special educational provision. […] </w:t>
      </w:r>
    </w:p>
    <w:p w14:paraId="6273E49A" w14:textId="0C1D92E8" w:rsidR="000B037C" w:rsidRPr="00A93FEF" w:rsidRDefault="000B037C" w:rsidP="00A574EC">
      <w:pPr>
        <w:pStyle w:val="Indent1"/>
        <w:spacing w:line="240" w:lineRule="auto"/>
        <w:ind w:left="1593" w:firstLine="0"/>
        <w:rPr>
          <w:rFonts w:ascii="Times New Roman" w:hAnsi="Times New Roman" w:cs="Times New Roman"/>
          <w:sz w:val="24"/>
          <w:szCs w:val="24"/>
        </w:rPr>
      </w:pPr>
      <w:r w:rsidRPr="00A93FEF">
        <w:rPr>
          <w:rFonts w:ascii="Times New Roman" w:hAnsi="Times New Roman" w:cs="Times New Roman"/>
          <w:sz w:val="24"/>
          <w:szCs w:val="24"/>
        </w:rPr>
        <w:t>(7) In this section “health care provision” and “special educational provision” are to be interpreted as if this section were in Part 3 of the Children and Families Act 2014 (see section 21 of that Act).</w:t>
      </w:r>
    </w:p>
    <w:p w14:paraId="46365C7E" w14:textId="4A453B55" w:rsidR="000B037C" w:rsidRPr="00A93FEF" w:rsidRDefault="000B037C" w:rsidP="00A574EC">
      <w:pPr>
        <w:pStyle w:val="Heading2"/>
        <w:rPr>
          <w:rFonts w:ascii="Times New Roman" w:hAnsi="Times New Roman" w:cs="Times New Roman"/>
          <w:sz w:val="24"/>
          <w:szCs w:val="24"/>
        </w:rPr>
      </w:pPr>
    </w:p>
    <w:p w14:paraId="2E871C26" w14:textId="0CF0E73F" w:rsidR="000B037C" w:rsidRPr="000A4E77" w:rsidRDefault="000A4E77"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It should be noted that s.343AA did not come into force until 22 November 2022</w:t>
      </w:r>
      <w:r>
        <w:rPr>
          <w:rFonts w:ascii="Times New Roman" w:hAnsi="Times New Roman" w:cs="Times New Roman"/>
          <w:sz w:val="24"/>
          <w:szCs w:val="24"/>
        </w:rPr>
        <w:t xml:space="preserve">, some months after the FTT decision. </w:t>
      </w:r>
      <w:r w:rsidRPr="00A93FEF">
        <w:rPr>
          <w:rFonts w:ascii="Times New Roman" w:hAnsi="Times New Roman" w:cs="Times New Roman"/>
          <w:sz w:val="24"/>
          <w:szCs w:val="24"/>
        </w:rPr>
        <w:t>The Council had, however</w:t>
      </w:r>
      <w:r>
        <w:rPr>
          <w:rFonts w:ascii="Times New Roman" w:hAnsi="Times New Roman" w:cs="Times New Roman"/>
          <w:sz w:val="24"/>
          <w:szCs w:val="24"/>
        </w:rPr>
        <w:t xml:space="preserve">, in June 2011  </w:t>
      </w:r>
      <w:r w:rsidRPr="00A93FEF">
        <w:rPr>
          <w:rFonts w:ascii="Times New Roman" w:hAnsi="Times New Roman" w:cs="Times New Roman"/>
          <w:sz w:val="24"/>
          <w:szCs w:val="24"/>
        </w:rPr>
        <w:t>signed the Armed Forces Covenant whose obligations were not materially different from the later statu</w:t>
      </w:r>
      <w:r>
        <w:rPr>
          <w:rFonts w:ascii="Times New Roman" w:hAnsi="Times New Roman" w:cs="Times New Roman"/>
          <w:sz w:val="24"/>
          <w:szCs w:val="24"/>
        </w:rPr>
        <w:t xml:space="preserve">te. </w:t>
      </w:r>
      <w:r w:rsidR="000B037C" w:rsidRPr="000A4E77">
        <w:rPr>
          <w:rFonts w:ascii="Times New Roman" w:hAnsi="Times New Roman" w:cs="Times New Roman"/>
          <w:sz w:val="24"/>
          <w:szCs w:val="24"/>
        </w:rPr>
        <w:t xml:space="preserve">On its website the Council </w:t>
      </w:r>
      <w:r>
        <w:rPr>
          <w:rFonts w:ascii="Times New Roman" w:hAnsi="Times New Roman" w:cs="Times New Roman"/>
          <w:sz w:val="24"/>
          <w:szCs w:val="24"/>
        </w:rPr>
        <w:t>s</w:t>
      </w:r>
      <w:r w:rsidR="000B037C" w:rsidRPr="000A4E77">
        <w:rPr>
          <w:rFonts w:ascii="Times New Roman" w:hAnsi="Times New Roman" w:cs="Times New Roman"/>
          <w:sz w:val="24"/>
          <w:szCs w:val="24"/>
        </w:rPr>
        <w:t>tate</w:t>
      </w:r>
      <w:r>
        <w:rPr>
          <w:rFonts w:ascii="Times New Roman" w:hAnsi="Times New Roman" w:cs="Times New Roman"/>
          <w:sz w:val="24"/>
          <w:szCs w:val="24"/>
        </w:rPr>
        <w:t>d</w:t>
      </w:r>
      <w:r w:rsidR="000B037C" w:rsidRPr="000A4E77">
        <w:rPr>
          <w:rFonts w:ascii="Times New Roman" w:hAnsi="Times New Roman" w:cs="Times New Roman"/>
          <w:sz w:val="24"/>
          <w:szCs w:val="24"/>
        </w:rPr>
        <w:t>:</w:t>
      </w:r>
    </w:p>
    <w:p w14:paraId="104FB77F" w14:textId="77777777" w:rsidR="000B037C" w:rsidRPr="0013547C" w:rsidRDefault="000B037C" w:rsidP="00A574EC">
      <w:pPr>
        <w:pStyle w:val="Indent1"/>
        <w:spacing w:line="240" w:lineRule="auto"/>
        <w:ind w:left="1211" w:firstLine="0"/>
        <w:rPr>
          <w:rFonts w:ascii="Times New Roman" w:hAnsi="Times New Roman" w:cs="Times New Roman"/>
          <w:sz w:val="24"/>
          <w:szCs w:val="24"/>
        </w:rPr>
      </w:pPr>
      <w:r w:rsidRPr="0013547C">
        <w:rPr>
          <w:rFonts w:ascii="Times New Roman" w:hAnsi="Times New Roman" w:cs="Times New Roman"/>
          <w:sz w:val="24"/>
          <w:szCs w:val="24"/>
        </w:rPr>
        <w:t>The County Council’s approach is based on the following principles:</w:t>
      </w:r>
    </w:p>
    <w:p w14:paraId="5D3F46DF" w14:textId="77777777" w:rsidR="000B037C" w:rsidRPr="0013547C" w:rsidRDefault="000B037C" w:rsidP="00A574EC">
      <w:pPr>
        <w:pStyle w:val="Indent1"/>
        <w:spacing w:line="240" w:lineRule="auto"/>
        <w:ind w:left="1211" w:firstLine="0"/>
        <w:rPr>
          <w:rFonts w:ascii="Times New Roman" w:hAnsi="Times New Roman" w:cs="Times New Roman"/>
          <w:sz w:val="24"/>
          <w:szCs w:val="24"/>
        </w:rPr>
      </w:pPr>
      <w:r w:rsidRPr="0013547C">
        <w:rPr>
          <w:rFonts w:ascii="Times New Roman" w:hAnsi="Times New Roman" w:cs="Times New Roman"/>
          <w:sz w:val="24"/>
          <w:szCs w:val="24"/>
        </w:rPr>
        <w:t xml:space="preserve">• No disadvantage - this ensures members of the armed forces community experience no disadvantage as a result of their service in the armed forces </w:t>
      </w:r>
    </w:p>
    <w:p w14:paraId="5F8EBAA4" w14:textId="77777777" w:rsidR="000B037C" w:rsidRPr="0013547C" w:rsidRDefault="000B037C" w:rsidP="00A574EC">
      <w:pPr>
        <w:pStyle w:val="Indent1"/>
        <w:spacing w:line="240" w:lineRule="auto"/>
        <w:ind w:left="1211" w:firstLine="0"/>
        <w:rPr>
          <w:rFonts w:ascii="Times New Roman" w:hAnsi="Times New Roman" w:cs="Times New Roman"/>
          <w:sz w:val="24"/>
          <w:szCs w:val="24"/>
        </w:rPr>
      </w:pPr>
      <w:r w:rsidRPr="0013547C">
        <w:rPr>
          <w:rFonts w:ascii="Times New Roman" w:hAnsi="Times New Roman" w:cs="Times New Roman"/>
          <w:sz w:val="24"/>
          <w:szCs w:val="24"/>
        </w:rPr>
        <w:t xml:space="preserve">• Smooth transition - this ensures appropriate actions are taken to support the transition from military to civilian life </w:t>
      </w:r>
    </w:p>
    <w:p w14:paraId="019B196C" w14:textId="77777777" w:rsidR="000B037C" w:rsidRPr="0013547C" w:rsidRDefault="000B037C" w:rsidP="00A574EC">
      <w:pPr>
        <w:pStyle w:val="Indent1"/>
        <w:spacing w:line="240" w:lineRule="auto"/>
        <w:ind w:left="1211" w:firstLine="0"/>
        <w:rPr>
          <w:rFonts w:ascii="Times New Roman" w:hAnsi="Times New Roman" w:cs="Times New Roman"/>
          <w:sz w:val="24"/>
          <w:szCs w:val="24"/>
        </w:rPr>
      </w:pPr>
      <w:r w:rsidRPr="0013547C">
        <w:rPr>
          <w:rFonts w:ascii="Times New Roman" w:hAnsi="Times New Roman" w:cs="Times New Roman"/>
          <w:sz w:val="24"/>
          <w:szCs w:val="24"/>
        </w:rPr>
        <w:t xml:space="preserve">• Work with partners to reduce duplication. Make efficient use of all available resources to deliver the best possible outcomes for members of the armed forces community The ambition is that the County Council’s support for the armed forces is embedded into mainstream services, based on evidenced need. The Armed Forces Covenant is based upon two key principles: </w:t>
      </w:r>
    </w:p>
    <w:p w14:paraId="362AF0AB" w14:textId="77777777" w:rsidR="000B037C" w:rsidRPr="0013547C" w:rsidRDefault="000B037C" w:rsidP="00A574EC">
      <w:pPr>
        <w:pStyle w:val="Indent1"/>
        <w:spacing w:line="240" w:lineRule="auto"/>
        <w:ind w:left="1211" w:firstLine="0"/>
        <w:rPr>
          <w:rFonts w:ascii="Times New Roman" w:hAnsi="Times New Roman" w:cs="Times New Roman"/>
          <w:sz w:val="24"/>
          <w:szCs w:val="24"/>
        </w:rPr>
      </w:pPr>
      <w:r w:rsidRPr="0013547C">
        <w:rPr>
          <w:rFonts w:ascii="Times New Roman" w:hAnsi="Times New Roman" w:cs="Times New Roman"/>
          <w:sz w:val="24"/>
          <w:szCs w:val="24"/>
        </w:rPr>
        <w:t xml:space="preserve">• The Armed Forces community should not face disadvantage compared to other citizens in the provision of public and commercial services </w:t>
      </w:r>
    </w:p>
    <w:p w14:paraId="77619283" w14:textId="6599814E" w:rsidR="000B037C" w:rsidRPr="001E712A" w:rsidRDefault="000B037C" w:rsidP="00A574EC">
      <w:pPr>
        <w:pStyle w:val="Indent1"/>
        <w:spacing w:line="240" w:lineRule="auto"/>
        <w:ind w:left="1211" w:firstLine="0"/>
        <w:rPr>
          <w:rFonts w:ascii="Times New Roman" w:hAnsi="Times New Roman" w:cs="Times New Roman"/>
          <w:sz w:val="24"/>
          <w:szCs w:val="24"/>
        </w:rPr>
      </w:pPr>
      <w:r w:rsidRPr="0013547C">
        <w:rPr>
          <w:rFonts w:ascii="Times New Roman" w:hAnsi="Times New Roman" w:cs="Times New Roman"/>
          <w:sz w:val="24"/>
          <w:szCs w:val="24"/>
        </w:rPr>
        <w:t>• Special consideration is appropriate in some cases, especially for those who have given most such as the injured and the bereaved.</w:t>
      </w:r>
    </w:p>
    <w:p w14:paraId="753E9B4E" w14:textId="29A35221" w:rsidR="000B037C" w:rsidRDefault="00C02F48" w:rsidP="00A574EC">
      <w:pPr>
        <w:pStyle w:val="Heading1"/>
        <w:rPr>
          <w:rFonts w:ascii="Times New Roman" w:hAnsi="Times New Roman" w:cs="Times New Roman"/>
          <w:b w:val="0"/>
          <w:bCs w:val="0"/>
          <w:i/>
          <w:iCs/>
          <w:sz w:val="24"/>
          <w:szCs w:val="24"/>
        </w:rPr>
      </w:pPr>
      <w:r>
        <w:rPr>
          <w:rFonts w:ascii="Times New Roman" w:hAnsi="Times New Roman" w:cs="Times New Roman"/>
          <w:b w:val="0"/>
          <w:bCs w:val="0"/>
          <w:i/>
          <w:iCs/>
          <w:sz w:val="24"/>
          <w:szCs w:val="24"/>
        </w:rPr>
        <w:t>Gr</w:t>
      </w:r>
      <w:r w:rsidR="001E712A">
        <w:rPr>
          <w:rFonts w:ascii="Times New Roman" w:hAnsi="Times New Roman" w:cs="Times New Roman"/>
          <w:b w:val="0"/>
          <w:bCs w:val="0"/>
          <w:i/>
          <w:iCs/>
          <w:sz w:val="24"/>
          <w:szCs w:val="24"/>
        </w:rPr>
        <w:t>o</w:t>
      </w:r>
      <w:r>
        <w:rPr>
          <w:rFonts w:ascii="Times New Roman" w:hAnsi="Times New Roman" w:cs="Times New Roman"/>
          <w:b w:val="0"/>
          <w:bCs w:val="0"/>
          <w:i/>
          <w:iCs/>
          <w:sz w:val="24"/>
          <w:szCs w:val="24"/>
        </w:rPr>
        <w:t>unds of appeal to this court</w:t>
      </w:r>
    </w:p>
    <w:p w14:paraId="4054F323" w14:textId="77777777" w:rsidR="001E712A" w:rsidRPr="001E712A" w:rsidRDefault="001E712A" w:rsidP="00A574EC"/>
    <w:p w14:paraId="7DD8F8F1" w14:textId="77777777" w:rsidR="000B037C" w:rsidRPr="00A93FEF" w:rsidRDefault="000B037C" w:rsidP="00A574EC">
      <w:pPr>
        <w:numPr>
          <w:ilvl w:val="0"/>
          <w:numId w:val="11"/>
        </w:numPr>
        <w:spacing w:after="240"/>
        <w:jc w:val="both"/>
      </w:pPr>
      <w:r w:rsidRPr="00A93FEF">
        <w:t>Andrews LJ granted permission to appeal on three grounds:</w:t>
      </w:r>
    </w:p>
    <w:p w14:paraId="07D32E44" w14:textId="597894A8" w:rsidR="000B037C" w:rsidRPr="00A93FEF" w:rsidRDefault="000B037C" w:rsidP="00A574EC">
      <w:pPr>
        <w:numPr>
          <w:ilvl w:val="1"/>
          <w:numId w:val="11"/>
        </w:numPr>
        <w:spacing w:after="240"/>
        <w:ind w:left="1208" w:hanging="357"/>
        <w:jc w:val="both"/>
      </w:pPr>
      <w:r w:rsidRPr="00A93FEF">
        <w:rPr>
          <w:b/>
          <w:bCs/>
        </w:rPr>
        <w:t>Ground 1 (the jurisdiction question)</w:t>
      </w:r>
      <w:r w:rsidRPr="00A93FEF">
        <w:t>: The Upper Tribunal erred, in particular at [160]-[163]</w:t>
      </w:r>
      <w:r w:rsidR="00BC3A78">
        <w:t>,</w:t>
      </w:r>
      <w:r w:rsidRPr="00A93FEF">
        <w:t xml:space="preserve"> by concluding that a procedural defect occurring before the registration of an appeal, or the decision which was subject to that appeal (in this case a failure to consult), could constitute the basis for upholding the appeal by the Tribunal.</w:t>
      </w:r>
    </w:p>
    <w:p w14:paraId="4BA28BCB" w14:textId="4D929DD4" w:rsidR="000B037C" w:rsidRPr="00A93FEF" w:rsidRDefault="000B037C" w:rsidP="00A574EC">
      <w:pPr>
        <w:numPr>
          <w:ilvl w:val="1"/>
          <w:numId w:val="11"/>
        </w:numPr>
        <w:spacing w:after="240"/>
        <w:ind w:left="1208" w:hanging="357"/>
        <w:jc w:val="both"/>
      </w:pPr>
      <w:r w:rsidRPr="00A93FEF">
        <w:rPr>
          <w:b/>
          <w:bCs/>
        </w:rPr>
        <w:t>Ground 2 (the residence question)</w:t>
      </w:r>
      <w:r w:rsidRPr="00A93FEF">
        <w:t>: The Upper Tribunal erred in particular, at [206] and [228]</w:t>
      </w:r>
      <w:r w:rsidR="000435B3">
        <w:t>,</w:t>
      </w:r>
      <w:r w:rsidRPr="00A93FEF">
        <w:t xml:space="preserve"> by concluding that the test for determining if a child or young person is in the area of a local authority is one of ordinary / habitual residence.</w:t>
      </w:r>
    </w:p>
    <w:p w14:paraId="35D9C137" w14:textId="01EBC52E" w:rsidR="000B037C" w:rsidRPr="00A93FEF" w:rsidRDefault="000B037C" w:rsidP="00A574EC">
      <w:pPr>
        <w:numPr>
          <w:ilvl w:val="1"/>
          <w:numId w:val="11"/>
        </w:numPr>
        <w:spacing w:after="240"/>
        <w:ind w:left="1208" w:hanging="357"/>
        <w:jc w:val="both"/>
      </w:pPr>
      <w:r w:rsidRPr="00A93FEF">
        <w:rPr>
          <w:b/>
          <w:bCs/>
        </w:rPr>
        <w:t>Ground 3 (the implementation question)</w:t>
      </w:r>
      <w:r w:rsidRPr="00A93FEF">
        <w:t>: The Upper Tribunal erred, in particular at [244]-[250]</w:t>
      </w:r>
      <w:r w:rsidR="00BC3A78">
        <w:t>,</w:t>
      </w:r>
      <w:r w:rsidRPr="00A93FEF">
        <w:t xml:space="preserve"> in its approach to s.42(2) of the CFA 2014 by concluding that a local authority must maintain an EHCP in cases where the child or young person is absent from its area.</w:t>
      </w:r>
    </w:p>
    <w:p w14:paraId="2A464139" w14:textId="77777777" w:rsidR="000B1E53" w:rsidRPr="002D3CAF" w:rsidRDefault="000B1E53" w:rsidP="00A574EC">
      <w:pPr>
        <w:pStyle w:val="Heading1"/>
        <w:rPr>
          <w:rFonts w:ascii="Times New Roman" w:hAnsi="Times New Roman" w:cs="Times New Roman"/>
          <w:b w:val="0"/>
          <w:bCs w:val="0"/>
          <w:i/>
          <w:iCs/>
          <w:sz w:val="24"/>
          <w:szCs w:val="24"/>
          <w:u w:val="single"/>
        </w:rPr>
      </w:pPr>
      <w:bookmarkStart w:id="10" w:name="_Toc216144033"/>
      <w:r w:rsidRPr="002D3CAF">
        <w:rPr>
          <w:rFonts w:ascii="Times New Roman" w:hAnsi="Times New Roman" w:cs="Times New Roman"/>
          <w:b w:val="0"/>
          <w:bCs w:val="0"/>
          <w:i/>
          <w:iCs/>
          <w:sz w:val="24"/>
          <w:szCs w:val="24"/>
          <w:u w:val="single"/>
        </w:rPr>
        <w:t>Submissions</w:t>
      </w:r>
    </w:p>
    <w:p w14:paraId="1B7C0792" w14:textId="34D02020" w:rsidR="000B037C" w:rsidRPr="000F025C" w:rsidRDefault="006E4AE3" w:rsidP="00A574EC">
      <w:pPr>
        <w:pStyle w:val="Heading1"/>
        <w:rPr>
          <w:rFonts w:ascii="Times New Roman" w:hAnsi="Times New Roman" w:cs="Times New Roman"/>
          <w:b w:val="0"/>
          <w:bCs w:val="0"/>
          <w:i/>
          <w:iCs/>
          <w:sz w:val="24"/>
          <w:szCs w:val="24"/>
        </w:rPr>
      </w:pPr>
      <w:r>
        <w:rPr>
          <w:rFonts w:ascii="Times New Roman" w:hAnsi="Times New Roman" w:cs="Times New Roman"/>
          <w:b w:val="0"/>
          <w:bCs w:val="0"/>
          <w:i/>
          <w:iCs/>
          <w:sz w:val="24"/>
          <w:szCs w:val="24"/>
        </w:rPr>
        <w:t>Ground 1: t</w:t>
      </w:r>
      <w:r w:rsidR="000B037C" w:rsidRPr="000F025C">
        <w:rPr>
          <w:rFonts w:ascii="Times New Roman" w:hAnsi="Times New Roman" w:cs="Times New Roman"/>
          <w:b w:val="0"/>
          <w:bCs w:val="0"/>
          <w:i/>
          <w:iCs/>
          <w:sz w:val="24"/>
          <w:szCs w:val="24"/>
        </w:rPr>
        <w:t xml:space="preserve">he </w:t>
      </w:r>
      <w:r w:rsidR="000A4E77" w:rsidRPr="000F025C">
        <w:rPr>
          <w:rFonts w:ascii="Times New Roman" w:hAnsi="Times New Roman" w:cs="Times New Roman"/>
          <w:b w:val="0"/>
          <w:bCs w:val="0"/>
          <w:i/>
          <w:iCs/>
          <w:sz w:val="24"/>
          <w:szCs w:val="24"/>
        </w:rPr>
        <w:t>j</w:t>
      </w:r>
      <w:r w:rsidR="000B037C" w:rsidRPr="000F025C">
        <w:rPr>
          <w:rFonts w:ascii="Times New Roman" w:hAnsi="Times New Roman" w:cs="Times New Roman"/>
          <w:b w:val="0"/>
          <w:bCs w:val="0"/>
          <w:i/>
          <w:iCs/>
          <w:sz w:val="24"/>
          <w:szCs w:val="24"/>
        </w:rPr>
        <w:t xml:space="preserve">urisdiction </w:t>
      </w:r>
      <w:r w:rsidR="000A4E77" w:rsidRPr="000F025C">
        <w:rPr>
          <w:rFonts w:ascii="Times New Roman" w:hAnsi="Times New Roman" w:cs="Times New Roman"/>
          <w:b w:val="0"/>
          <w:bCs w:val="0"/>
          <w:i/>
          <w:iCs/>
          <w:sz w:val="24"/>
          <w:szCs w:val="24"/>
        </w:rPr>
        <w:t>q</w:t>
      </w:r>
      <w:r w:rsidR="000B037C" w:rsidRPr="000F025C">
        <w:rPr>
          <w:rFonts w:ascii="Times New Roman" w:hAnsi="Times New Roman" w:cs="Times New Roman"/>
          <w:b w:val="0"/>
          <w:bCs w:val="0"/>
          <w:i/>
          <w:iCs/>
          <w:sz w:val="24"/>
          <w:szCs w:val="24"/>
        </w:rPr>
        <w:t>uestion</w:t>
      </w:r>
      <w:bookmarkEnd w:id="10"/>
    </w:p>
    <w:p w14:paraId="003B2969" w14:textId="29CCB52F" w:rsidR="000B037C" w:rsidRPr="00A93FEF" w:rsidRDefault="000B037C" w:rsidP="00A574EC">
      <w:pPr>
        <w:pStyle w:val="Heading2"/>
        <w:rPr>
          <w:rFonts w:ascii="Times New Roman" w:hAnsi="Times New Roman" w:cs="Times New Roman"/>
          <w:sz w:val="24"/>
          <w:szCs w:val="24"/>
        </w:rPr>
      </w:pPr>
    </w:p>
    <w:p w14:paraId="65196267" w14:textId="3AE93E8A" w:rsidR="000B037C" w:rsidRPr="00030244" w:rsidRDefault="000B037C" w:rsidP="00A574EC">
      <w:pPr>
        <w:pStyle w:val="Indent1"/>
        <w:numPr>
          <w:ilvl w:val="0"/>
          <w:numId w:val="11"/>
        </w:numPr>
        <w:spacing w:line="240" w:lineRule="auto"/>
        <w:rPr>
          <w:rFonts w:ascii="Times New Roman" w:hAnsi="Times New Roman" w:cs="Times New Roman"/>
          <w:sz w:val="24"/>
          <w:szCs w:val="24"/>
        </w:rPr>
      </w:pPr>
      <w:r w:rsidRPr="00030244">
        <w:rPr>
          <w:rFonts w:ascii="Times New Roman" w:hAnsi="Times New Roman" w:cs="Times New Roman"/>
          <w:sz w:val="24"/>
          <w:szCs w:val="24"/>
        </w:rPr>
        <w:t xml:space="preserve">The Appellant </w:t>
      </w:r>
      <w:r w:rsidR="000A4E77" w:rsidRPr="00030244">
        <w:rPr>
          <w:rFonts w:ascii="Times New Roman" w:hAnsi="Times New Roman" w:cs="Times New Roman"/>
          <w:sz w:val="24"/>
          <w:szCs w:val="24"/>
        </w:rPr>
        <w:t xml:space="preserve">Council </w:t>
      </w:r>
      <w:r w:rsidRPr="00030244">
        <w:rPr>
          <w:rFonts w:ascii="Times New Roman" w:hAnsi="Times New Roman" w:cs="Times New Roman"/>
          <w:sz w:val="24"/>
          <w:szCs w:val="24"/>
        </w:rPr>
        <w:t>submit</w:t>
      </w:r>
      <w:r w:rsidR="00B305A7" w:rsidRPr="00030244">
        <w:rPr>
          <w:rFonts w:ascii="Times New Roman" w:hAnsi="Times New Roman" w:cs="Times New Roman"/>
          <w:sz w:val="24"/>
          <w:szCs w:val="24"/>
        </w:rPr>
        <w:t>ted</w:t>
      </w:r>
      <w:r w:rsidRPr="00030244">
        <w:rPr>
          <w:rFonts w:ascii="Times New Roman" w:hAnsi="Times New Roman" w:cs="Times New Roman"/>
          <w:sz w:val="24"/>
          <w:szCs w:val="24"/>
        </w:rPr>
        <w:t xml:space="preserve"> that the Upper Tribunal ha</w:t>
      </w:r>
      <w:r w:rsidR="00B305A7" w:rsidRPr="00030244">
        <w:rPr>
          <w:rFonts w:ascii="Times New Roman" w:hAnsi="Times New Roman" w:cs="Times New Roman"/>
          <w:sz w:val="24"/>
          <w:szCs w:val="24"/>
        </w:rPr>
        <w:t>d</w:t>
      </w:r>
      <w:r w:rsidRPr="00030244">
        <w:rPr>
          <w:rFonts w:ascii="Times New Roman" w:hAnsi="Times New Roman" w:cs="Times New Roman"/>
          <w:sz w:val="24"/>
          <w:szCs w:val="24"/>
        </w:rPr>
        <w:t xml:space="preserve"> made an error of law and extended the jurisdiction of the Tribunal beyond its statutory remit</w:t>
      </w:r>
      <w:r w:rsidRPr="00030244">
        <w:rPr>
          <w:rFonts w:ascii="Times New Roman" w:hAnsi="Times New Roman" w:cs="Times New Roman"/>
          <w:b/>
          <w:bCs/>
          <w:sz w:val="24"/>
          <w:szCs w:val="24"/>
        </w:rPr>
        <w:t>.</w:t>
      </w:r>
      <w:r w:rsidR="00030244" w:rsidRPr="00030244">
        <w:rPr>
          <w:rFonts w:ascii="Times New Roman" w:hAnsi="Times New Roman" w:cs="Times New Roman"/>
          <w:b/>
          <w:bCs/>
          <w:sz w:val="24"/>
          <w:szCs w:val="24"/>
        </w:rPr>
        <w:t xml:space="preserve"> </w:t>
      </w:r>
      <w:r w:rsidRPr="00030244">
        <w:rPr>
          <w:rFonts w:ascii="Times New Roman" w:hAnsi="Times New Roman" w:cs="Times New Roman"/>
          <w:sz w:val="24"/>
          <w:szCs w:val="24"/>
        </w:rPr>
        <w:t xml:space="preserve">The </w:t>
      </w:r>
      <w:r w:rsidR="003F5A57" w:rsidRPr="00030244">
        <w:rPr>
          <w:rFonts w:ascii="Times New Roman" w:hAnsi="Times New Roman" w:cs="Times New Roman"/>
          <w:sz w:val="24"/>
          <w:szCs w:val="24"/>
        </w:rPr>
        <w:t xml:space="preserve">Council </w:t>
      </w:r>
      <w:r w:rsidRPr="00030244">
        <w:rPr>
          <w:rFonts w:ascii="Times New Roman" w:hAnsi="Times New Roman" w:cs="Times New Roman"/>
          <w:sz w:val="24"/>
          <w:szCs w:val="24"/>
        </w:rPr>
        <w:t>d</w:t>
      </w:r>
      <w:r w:rsidR="00B305A7" w:rsidRPr="00030244">
        <w:rPr>
          <w:rFonts w:ascii="Times New Roman" w:hAnsi="Times New Roman" w:cs="Times New Roman"/>
          <w:sz w:val="24"/>
          <w:szCs w:val="24"/>
        </w:rPr>
        <w:t>id</w:t>
      </w:r>
      <w:r w:rsidRPr="00030244">
        <w:rPr>
          <w:rFonts w:ascii="Times New Roman" w:hAnsi="Times New Roman" w:cs="Times New Roman"/>
          <w:sz w:val="24"/>
          <w:szCs w:val="24"/>
        </w:rPr>
        <w:t xml:space="preserve"> not deny that </w:t>
      </w:r>
      <w:r w:rsidR="00B305A7" w:rsidRPr="00030244">
        <w:rPr>
          <w:rFonts w:ascii="Times New Roman" w:hAnsi="Times New Roman" w:cs="Times New Roman"/>
          <w:sz w:val="24"/>
          <w:szCs w:val="24"/>
        </w:rPr>
        <w:t>it</w:t>
      </w:r>
      <w:r w:rsidRPr="00030244">
        <w:rPr>
          <w:rFonts w:ascii="Times New Roman" w:hAnsi="Times New Roman" w:cs="Times New Roman"/>
          <w:sz w:val="24"/>
          <w:szCs w:val="24"/>
        </w:rPr>
        <w:t xml:space="preserve"> failed to consult with the parents and headteacher in accordance with reg.31</w:t>
      </w:r>
      <w:r w:rsidRPr="00030244">
        <w:rPr>
          <w:rFonts w:ascii="Times New Roman" w:hAnsi="Times New Roman" w:cs="Times New Roman"/>
          <w:b/>
          <w:bCs/>
          <w:sz w:val="24"/>
          <w:szCs w:val="24"/>
        </w:rPr>
        <w:t>.</w:t>
      </w:r>
      <w:r w:rsidRPr="00030244">
        <w:rPr>
          <w:rFonts w:ascii="Times New Roman" w:hAnsi="Times New Roman" w:cs="Times New Roman"/>
          <w:sz w:val="24"/>
          <w:szCs w:val="24"/>
        </w:rPr>
        <w:t xml:space="preserve"> </w:t>
      </w:r>
      <w:r w:rsidR="00DE6205">
        <w:rPr>
          <w:rFonts w:ascii="Times New Roman" w:hAnsi="Times New Roman" w:cs="Times New Roman"/>
          <w:sz w:val="24"/>
          <w:szCs w:val="24"/>
        </w:rPr>
        <w:t>Mr Line</w:t>
      </w:r>
      <w:r w:rsidRPr="00030244">
        <w:rPr>
          <w:rFonts w:ascii="Times New Roman" w:hAnsi="Times New Roman" w:cs="Times New Roman"/>
          <w:sz w:val="24"/>
          <w:szCs w:val="24"/>
        </w:rPr>
        <w:t xml:space="preserve"> submit</w:t>
      </w:r>
      <w:r w:rsidR="00B305A7" w:rsidRPr="00030244">
        <w:rPr>
          <w:rFonts w:ascii="Times New Roman" w:hAnsi="Times New Roman" w:cs="Times New Roman"/>
          <w:sz w:val="24"/>
          <w:szCs w:val="24"/>
        </w:rPr>
        <w:t>ted</w:t>
      </w:r>
      <w:r w:rsidRPr="00030244">
        <w:rPr>
          <w:rFonts w:ascii="Times New Roman" w:hAnsi="Times New Roman" w:cs="Times New Roman"/>
          <w:sz w:val="24"/>
          <w:szCs w:val="24"/>
        </w:rPr>
        <w:t xml:space="preserve">, however, that there are situations where mandatory procedural obligations are imposed on local authorities but are not always completed, in practice, before an appealable decision is made. </w:t>
      </w:r>
    </w:p>
    <w:p w14:paraId="19E0F937" w14:textId="01713FBE" w:rsidR="000B037C" w:rsidRPr="003B2E5E"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 xml:space="preserve">The Appellant </w:t>
      </w:r>
      <w:r w:rsidR="00B305A7">
        <w:rPr>
          <w:rFonts w:ascii="Times New Roman" w:hAnsi="Times New Roman" w:cs="Times New Roman"/>
          <w:sz w:val="24"/>
          <w:szCs w:val="24"/>
        </w:rPr>
        <w:t>cited</w:t>
      </w:r>
      <w:r w:rsidRPr="003B2E5E">
        <w:rPr>
          <w:rFonts w:ascii="Times New Roman" w:hAnsi="Times New Roman" w:cs="Times New Roman"/>
          <w:sz w:val="24"/>
          <w:szCs w:val="24"/>
        </w:rPr>
        <w:t xml:space="preserve"> Lord Steyn in </w:t>
      </w:r>
      <w:r w:rsidRPr="0024077D">
        <w:rPr>
          <w:rFonts w:ascii="Times New Roman" w:hAnsi="Times New Roman" w:cs="Times New Roman"/>
          <w:i/>
          <w:iCs/>
          <w:sz w:val="24"/>
          <w:szCs w:val="24"/>
        </w:rPr>
        <w:t>R v Soneji</w:t>
      </w:r>
      <w:r w:rsidRPr="0024077D">
        <w:rPr>
          <w:rFonts w:ascii="Times New Roman" w:hAnsi="Times New Roman" w:cs="Times New Roman"/>
          <w:sz w:val="24"/>
          <w:szCs w:val="24"/>
        </w:rPr>
        <w:t xml:space="preserve"> </w:t>
      </w:r>
      <w:r w:rsidRPr="003B2E5E">
        <w:rPr>
          <w:rFonts w:ascii="Times New Roman" w:hAnsi="Times New Roman" w:cs="Times New Roman"/>
          <w:sz w:val="24"/>
          <w:szCs w:val="24"/>
        </w:rPr>
        <w:t>[200</w:t>
      </w:r>
      <w:r w:rsidR="00C84C92">
        <w:rPr>
          <w:rFonts w:ascii="Times New Roman" w:hAnsi="Times New Roman" w:cs="Times New Roman"/>
          <w:sz w:val="24"/>
          <w:szCs w:val="24"/>
        </w:rPr>
        <w:t>6] 1</w:t>
      </w:r>
      <w:r w:rsidR="009B23C4">
        <w:rPr>
          <w:rFonts w:ascii="Times New Roman" w:hAnsi="Times New Roman" w:cs="Times New Roman"/>
          <w:sz w:val="24"/>
          <w:szCs w:val="24"/>
        </w:rPr>
        <w:t xml:space="preserve"> </w:t>
      </w:r>
      <w:r w:rsidR="00C84C92">
        <w:rPr>
          <w:rFonts w:ascii="Times New Roman" w:hAnsi="Times New Roman" w:cs="Times New Roman"/>
          <w:sz w:val="24"/>
          <w:szCs w:val="24"/>
        </w:rPr>
        <w:t xml:space="preserve">AC 340 </w:t>
      </w:r>
      <w:r w:rsidR="009B23C4">
        <w:rPr>
          <w:rFonts w:ascii="Times New Roman" w:hAnsi="Times New Roman" w:cs="Times New Roman"/>
          <w:sz w:val="24"/>
          <w:szCs w:val="24"/>
        </w:rPr>
        <w:t>at</w:t>
      </w:r>
      <w:r w:rsidRPr="003B2E5E">
        <w:rPr>
          <w:rFonts w:ascii="Times New Roman" w:hAnsi="Times New Roman" w:cs="Times New Roman"/>
          <w:sz w:val="24"/>
          <w:szCs w:val="24"/>
        </w:rPr>
        <w:t xml:space="preserve"> [14] in support of this: </w:t>
      </w:r>
      <w:r w:rsidRPr="003B2E5E">
        <w:rPr>
          <w:rFonts w:ascii="Times New Roman" w:hAnsi="Times New Roman" w:cs="Times New Roman"/>
          <w:i/>
          <w:iCs/>
          <w:sz w:val="24"/>
          <w:szCs w:val="24"/>
        </w:rPr>
        <w:t>“</w:t>
      </w:r>
      <w:r w:rsidRPr="003B2E5E">
        <w:rPr>
          <w:rFonts w:ascii="Times New Roman" w:hAnsi="Times New Roman" w:cs="Times New Roman"/>
          <w:sz w:val="24"/>
          <w:szCs w:val="24"/>
        </w:rPr>
        <w:t>A recurrent theme in the drafting of statutes is that Parliament casts its commands in imperative form without expressly spelling out the consequences of a failure to comply”. At [23] Lord Steyn stated</w:t>
      </w:r>
      <w:r w:rsidR="00E96620">
        <w:rPr>
          <w:rFonts w:ascii="Times New Roman" w:hAnsi="Times New Roman" w:cs="Times New Roman"/>
          <w:sz w:val="24"/>
          <w:szCs w:val="24"/>
        </w:rPr>
        <w:t xml:space="preserve"> that</w:t>
      </w:r>
      <w:r w:rsidRPr="003B2E5E">
        <w:rPr>
          <w:rFonts w:ascii="Times New Roman" w:hAnsi="Times New Roman" w:cs="Times New Roman"/>
          <w:sz w:val="24"/>
          <w:szCs w:val="24"/>
        </w:rPr>
        <w:t>: “</w:t>
      </w:r>
      <w:r w:rsidR="00E96620">
        <w:rPr>
          <w:rFonts w:ascii="Times New Roman" w:hAnsi="Times New Roman" w:cs="Times New Roman"/>
          <w:sz w:val="24"/>
          <w:szCs w:val="24"/>
        </w:rPr>
        <w:t>……</w:t>
      </w:r>
      <w:r w:rsidRPr="003B2E5E">
        <w:rPr>
          <w:rFonts w:ascii="Times New Roman" w:hAnsi="Times New Roman" w:cs="Times New Roman"/>
          <w:sz w:val="24"/>
          <w:szCs w:val="24"/>
        </w:rPr>
        <w:t>the question [is] whether Parliament can be fairly taken to have intended total invalidity. That is how I would approach what is ultimately a question of statutory construction.”</w:t>
      </w:r>
    </w:p>
    <w:p w14:paraId="36DB074D" w14:textId="4D0281ED" w:rsidR="000B037C" w:rsidRPr="00A93FEF"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The Appellant submit</w:t>
      </w:r>
      <w:r w:rsidR="003B12C2">
        <w:rPr>
          <w:rFonts w:ascii="Times New Roman" w:hAnsi="Times New Roman" w:cs="Times New Roman"/>
          <w:sz w:val="24"/>
          <w:szCs w:val="24"/>
        </w:rPr>
        <w:t>ted in its skeleton argument</w:t>
      </w:r>
      <w:r w:rsidRPr="00A93FEF">
        <w:rPr>
          <w:rFonts w:ascii="Times New Roman" w:hAnsi="Times New Roman" w:cs="Times New Roman"/>
          <w:sz w:val="24"/>
          <w:szCs w:val="24"/>
        </w:rPr>
        <w:t xml:space="preserve"> that the failure to consult happened before the decision to cease to maintain</w:t>
      </w:r>
      <w:r w:rsidR="000D5CA2">
        <w:rPr>
          <w:rFonts w:ascii="Times New Roman" w:hAnsi="Times New Roman" w:cs="Times New Roman"/>
          <w:sz w:val="24"/>
          <w:szCs w:val="24"/>
        </w:rPr>
        <w:t>. If</w:t>
      </w:r>
      <w:r w:rsidRPr="00A93FEF">
        <w:rPr>
          <w:rFonts w:ascii="Times New Roman" w:hAnsi="Times New Roman" w:cs="Times New Roman"/>
          <w:sz w:val="24"/>
          <w:szCs w:val="24"/>
        </w:rPr>
        <w:t xml:space="preserve"> the parents wished to invalidate the Appellant’s decision because of a failure to consult, the correct route would have been to pursue a quashing order from the High Court through a judicial review claim</w:t>
      </w:r>
      <w:r w:rsidRPr="00A93FEF">
        <w:rPr>
          <w:rFonts w:ascii="Times New Roman" w:hAnsi="Times New Roman" w:cs="Times New Roman"/>
          <w:b/>
          <w:bCs/>
          <w:sz w:val="24"/>
          <w:szCs w:val="24"/>
        </w:rPr>
        <w:t>.</w:t>
      </w:r>
    </w:p>
    <w:p w14:paraId="0BB3E4B3" w14:textId="3D2D038F" w:rsidR="000B037C" w:rsidRPr="00A93FEF"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The Appellant argue</w:t>
      </w:r>
      <w:r w:rsidR="00E96620">
        <w:rPr>
          <w:rFonts w:ascii="Times New Roman" w:hAnsi="Times New Roman" w:cs="Times New Roman"/>
          <w:sz w:val="24"/>
          <w:szCs w:val="24"/>
        </w:rPr>
        <w:t>d</w:t>
      </w:r>
      <w:r w:rsidRPr="00A93FEF">
        <w:rPr>
          <w:rFonts w:ascii="Times New Roman" w:hAnsi="Times New Roman" w:cs="Times New Roman"/>
          <w:sz w:val="24"/>
          <w:szCs w:val="24"/>
        </w:rPr>
        <w:t xml:space="preserve"> </w:t>
      </w:r>
      <w:r w:rsidR="00626D24">
        <w:rPr>
          <w:rFonts w:ascii="Times New Roman" w:hAnsi="Times New Roman" w:cs="Times New Roman"/>
          <w:sz w:val="24"/>
          <w:szCs w:val="24"/>
        </w:rPr>
        <w:t xml:space="preserve">before us </w:t>
      </w:r>
      <w:r w:rsidRPr="00A93FEF">
        <w:rPr>
          <w:rFonts w:ascii="Times New Roman" w:hAnsi="Times New Roman" w:cs="Times New Roman"/>
          <w:sz w:val="24"/>
          <w:szCs w:val="24"/>
        </w:rPr>
        <w:t xml:space="preserve">that the Tribunal’s jurisdiction </w:t>
      </w:r>
      <w:r w:rsidR="00F12EC2">
        <w:rPr>
          <w:rFonts w:ascii="Times New Roman" w:hAnsi="Times New Roman" w:cs="Times New Roman"/>
          <w:sz w:val="24"/>
          <w:szCs w:val="24"/>
        </w:rPr>
        <w:t xml:space="preserve">on </w:t>
      </w:r>
      <w:r w:rsidRPr="00A93FEF">
        <w:rPr>
          <w:rFonts w:ascii="Times New Roman" w:hAnsi="Times New Roman" w:cs="Times New Roman"/>
          <w:sz w:val="24"/>
          <w:szCs w:val="24"/>
        </w:rPr>
        <w:t xml:space="preserve">appeal is in relation </w:t>
      </w:r>
      <w:r w:rsidR="00D3062D">
        <w:rPr>
          <w:rFonts w:ascii="Times New Roman" w:hAnsi="Times New Roman" w:cs="Times New Roman"/>
          <w:sz w:val="24"/>
          <w:szCs w:val="24"/>
        </w:rPr>
        <w:t xml:space="preserve">only </w:t>
      </w:r>
      <w:r w:rsidRPr="00A93FEF">
        <w:rPr>
          <w:rFonts w:ascii="Times New Roman" w:hAnsi="Times New Roman" w:cs="Times New Roman"/>
          <w:sz w:val="24"/>
          <w:szCs w:val="24"/>
        </w:rPr>
        <w:t>to the decision to cease to maintain, not the process leading to such a decision. The Tribunal h</w:t>
      </w:r>
      <w:r w:rsidR="00132F4C">
        <w:rPr>
          <w:rFonts w:ascii="Times New Roman" w:hAnsi="Times New Roman" w:cs="Times New Roman"/>
          <w:sz w:val="24"/>
          <w:szCs w:val="24"/>
        </w:rPr>
        <w:t>as</w:t>
      </w:r>
      <w:r w:rsidRPr="00A93FEF">
        <w:rPr>
          <w:rFonts w:ascii="Times New Roman" w:hAnsi="Times New Roman" w:cs="Times New Roman"/>
          <w:sz w:val="24"/>
          <w:szCs w:val="24"/>
        </w:rPr>
        <w:t xml:space="preserve"> a </w:t>
      </w:r>
      <w:r w:rsidRPr="00A93FEF">
        <w:rPr>
          <w:rFonts w:ascii="Times New Roman" w:hAnsi="Times New Roman" w:cs="Times New Roman"/>
          <w:i/>
          <w:iCs/>
          <w:sz w:val="24"/>
          <w:szCs w:val="24"/>
        </w:rPr>
        <w:t>de novo</w:t>
      </w:r>
      <w:r w:rsidRPr="00A93FEF">
        <w:rPr>
          <w:rFonts w:ascii="Times New Roman" w:hAnsi="Times New Roman" w:cs="Times New Roman"/>
          <w:sz w:val="24"/>
          <w:szCs w:val="24"/>
        </w:rPr>
        <w:t xml:space="preserve"> inquisitorial jurisdiction and engages with the merits of the case at the time of the hearing. The nature of the Tribunal’s jurisdiction is further illustrated by its powers in a cease to maintain context. The Tribunal may order a local </w:t>
      </w:r>
      <w:r w:rsidR="00132F4C">
        <w:rPr>
          <w:rFonts w:ascii="Times New Roman" w:hAnsi="Times New Roman" w:cs="Times New Roman"/>
          <w:sz w:val="24"/>
          <w:szCs w:val="24"/>
        </w:rPr>
        <w:t>authority</w:t>
      </w:r>
      <w:r w:rsidRPr="00A93FEF">
        <w:rPr>
          <w:rFonts w:ascii="Times New Roman" w:hAnsi="Times New Roman" w:cs="Times New Roman"/>
          <w:sz w:val="24"/>
          <w:szCs w:val="24"/>
        </w:rPr>
        <w:t xml:space="preserve"> to continue to maintain an EHCP in its existing form, or an amended form, but has no power to determine a complaint regarding a procedural breach</w:t>
      </w:r>
      <w:r w:rsidRPr="00A93FEF">
        <w:rPr>
          <w:rFonts w:ascii="Times New Roman" w:hAnsi="Times New Roman" w:cs="Times New Roman"/>
          <w:b/>
          <w:bCs/>
          <w:sz w:val="24"/>
          <w:szCs w:val="24"/>
        </w:rPr>
        <w:t>.</w:t>
      </w:r>
      <w:r w:rsidRPr="00A93FEF">
        <w:rPr>
          <w:rFonts w:ascii="Times New Roman" w:hAnsi="Times New Roman" w:cs="Times New Roman"/>
          <w:sz w:val="24"/>
          <w:szCs w:val="24"/>
        </w:rPr>
        <w:t xml:space="preserve"> Such a system puts a parent or young person at no disadvantage. </w:t>
      </w:r>
    </w:p>
    <w:p w14:paraId="0F5964B2" w14:textId="3E83F645" w:rsidR="000B037C" w:rsidRDefault="000B037C" w:rsidP="00A574EC">
      <w:pPr>
        <w:pStyle w:val="Heading2"/>
        <w:rPr>
          <w:rFonts w:ascii="Times New Roman" w:hAnsi="Times New Roman" w:cs="Times New Roman"/>
          <w:i/>
          <w:iCs/>
          <w:color w:val="000000" w:themeColor="text1"/>
          <w:sz w:val="24"/>
          <w:szCs w:val="24"/>
        </w:rPr>
      </w:pPr>
      <w:bookmarkStart w:id="11" w:name="_Toc216144035"/>
      <w:r w:rsidRPr="003156B8">
        <w:rPr>
          <w:rFonts w:ascii="Times New Roman" w:hAnsi="Times New Roman" w:cs="Times New Roman"/>
          <w:i/>
          <w:iCs/>
          <w:color w:val="000000" w:themeColor="text1"/>
          <w:sz w:val="24"/>
          <w:szCs w:val="24"/>
        </w:rPr>
        <w:t>Respondent</w:t>
      </w:r>
      <w:r w:rsidR="00100C7C">
        <w:rPr>
          <w:rFonts w:ascii="Times New Roman" w:hAnsi="Times New Roman" w:cs="Times New Roman"/>
          <w:i/>
          <w:iCs/>
          <w:color w:val="000000" w:themeColor="text1"/>
          <w:sz w:val="24"/>
          <w:szCs w:val="24"/>
        </w:rPr>
        <w:t>s’</w:t>
      </w:r>
      <w:r w:rsidRPr="003156B8">
        <w:rPr>
          <w:rFonts w:ascii="Times New Roman" w:hAnsi="Times New Roman" w:cs="Times New Roman"/>
          <w:i/>
          <w:iCs/>
          <w:color w:val="000000" w:themeColor="text1"/>
          <w:sz w:val="24"/>
          <w:szCs w:val="24"/>
        </w:rPr>
        <w:t xml:space="preserve"> </w:t>
      </w:r>
      <w:r w:rsidR="00BC74AA">
        <w:rPr>
          <w:rFonts w:ascii="Times New Roman" w:hAnsi="Times New Roman" w:cs="Times New Roman"/>
          <w:i/>
          <w:iCs/>
          <w:color w:val="000000" w:themeColor="text1"/>
          <w:sz w:val="24"/>
          <w:szCs w:val="24"/>
        </w:rPr>
        <w:t>s</w:t>
      </w:r>
      <w:r w:rsidRPr="003156B8">
        <w:rPr>
          <w:rFonts w:ascii="Times New Roman" w:hAnsi="Times New Roman" w:cs="Times New Roman"/>
          <w:i/>
          <w:iCs/>
          <w:color w:val="000000" w:themeColor="text1"/>
          <w:sz w:val="24"/>
          <w:szCs w:val="24"/>
        </w:rPr>
        <w:t>ubmission</w:t>
      </w:r>
      <w:bookmarkEnd w:id="11"/>
      <w:r w:rsidR="00BC74AA">
        <w:rPr>
          <w:rFonts w:ascii="Times New Roman" w:hAnsi="Times New Roman" w:cs="Times New Roman"/>
          <w:i/>
          <w:iCs/>
          <w:color w:val="000000" w:themeColor="text1"/>
          <w:sz w:val="24"/>
          <w:szCs w:val="24"/>
        </w:rPr>
        <w:t>s</w:t>
      </w:r>
    </w:p>
    <w:p w14:paraId="624B55A2" w14:textId="77777777" w:rsidR="006A1016" w:rsidRPr="006A1016" w:rsidRDefault="006A1016" w:rsidP="00A574EC"/>
    <w:p w14:paraId="7378C6F2" w14:textId="59A53A96" w:rsidR="000B037C" w:rsidRPr="00A93FEF"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The Respondent</w:t>
      </w:r>
      <w:r w:rsidR="00100C7C">
        <w:rPr>
          <w:rFonts w:ascii="Times New Roman" w:hAnsi="Times New Roman" w:cs="Times New Roman"/>
          <w:sz w:val="24"/>
          <w:szCs w:val="24"/>
        </w:rPr>
        <w:t>s</w:t>
      </w:r>
      <w:r w:rsidRPr="00A93FEF">
        <w:rPr>
          <w:rFonts w:ascii="Times New Roman" w:hAnsi="Times New Roman" w:cs="Times New Roman"/>
          <w:sz w:val="24"/>
          <w:szCs w:val="24"/>
        </w:rPr>
        <w:t xml:space="preserve"> argue</w:t>
      </w:r>
      <w:r w:rsidR="00100C7C">
        <w:rPr>
          <w:rFonts w:ascii="Times New Roman" w:hAnsi="Times New Roman" w:cs="Times New Roman"/>
          <w:sz w:val="24"/>
          <w:szCs w:val="24"/>
        </w:rPr>
        <w:t>d</w:t>
      </w:r>
      <w:r w:rsidRPr="00A93FEF">
        <w:rPr>
          <w:rFonts w:ascii="Times New Roman" w:hAnsi="Times New Roman" w:cs="Times New Roman"/>
          <w:sz w:val="24"/>
          <w:szCs w:val="24"/>
        </w:rPr>
        <w:t xml:space="preserve"> that the jurisdiction of the Tribunal is defined by reference to the subject matter, not by reference to a legal regime. Further, the ordinary meaning of the phrase “against the matters” </w:t>
      </w:r>
      <w:r w:rsidR="003278A2">
        <w:rPr>
          <w:rFonts w:ascii="Times New Roman" w:hAnsi="Times New Roman" w:cs="Times New Roman"/>
          <w:sz w:val="24"/>
          <w:szCs w:val="24"/>
        </w:rPr>
        <w:t>in s</w:t>
      </w:r>
      <w:r w:rsidR="00286F5E">
        <w:rPr>
          <w:rFonts w:ascii="Times New Roman" w:hAnsi="Times New Roman" w:cs="Times New Roman"/>
          <w:sz w:val="24"/>
          <w:szCs w:val="24"/>
        </w:rPr>
        <w:t>.</w:t>
      </w:r>
      <w:r w:rsidR="003278A2">
        <w:rPr>
          <w:rFonts w:ascii="Times New Roman" w:hAnsi="Times New Roman" w:cs="Times New Roman"/>
          <w:sz w:val="24"/>
          <w:szCs w:val="24"/>
        </w:rPr>
        <w:t xml:space="preserve">51(2) </w:t>
      </w:r>
      <w:r w:rsidRPr="00A93FEF">
        <w:rPr>
          <w:rFonts w:ascii="Times New Roman" w:hAnsi="Times New Roman" w:cs="Times New Roman"/>
          <w:sz w:val="24"/>
          <w:szCs w:val="24"/>
        </w:rPr>
        <w:t xml:space="preserve">is wide enough to include the question of whether a decision is invalid because a </w:t>
      </w:r>
      <w:r w:rsidR="00505314">
        <w:rPr>
          <w:rFonts w:ascii="Times New Roman" w:hAnsi="Times New Roman" w:cs="Times New Roman"/>
          <w:sz w:val="24"/>
          <w:szCs w:val="24"/>
        </w:rPr>
        <w:t>l</w:t>
      </w:r>
      <w:r w:rsidRPr="00A93FEF">
        <w:rPr>
          <w:rFonts w:ascii="Times New Roman" w:hAnsi="Times New Roman" w:cs="Times New Roman"/>
          <w:sz w:val="24"/>
          <w:szCs w:val="24"/>
        </w:rPr>
        <w:t xml:space="preserve">ocal </w:t>
      </w:r>
      <w:r w:rsidR="00505314">
        <w:rPr>
          <w:rFonts w:ascii="Times New Roman" w:hAnsi="Times New Roman" w:cs="Times New Roman"/>
          <w:sz w:val="24"/>
          <w:szCs w:val="24"/>
        </w:rPr>
        <w:t>a</w:t>
      </w:r>
      <w:r w:rsidRPr="00A93FEF">
        <w:rPr>
          <w:rFonts w:ascii="Times New Roman" w:hAnsi="Times New Roman" w:cs="Times New Roman"/>
          <w:sz w:val="24"/>
          <w:szCs w:val="24"/>
        </w:rPr>
        <w:t xml:space="preserve">uthority has failed to comply with the mandatory regulations governing that decision. There is nothing in the language of s.51(1) or s.51(2) that confines the Tribunal’s jurisdiction in the manner that the Appellant submits. </w:t>
      </w:r>
    </w:p>
    <w:p w14:paraId="2EE81E22" w14:textId="0D02C450" w:rsidR="00B14214" w:rsidRPr="00A93FEF"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The Respondent</w:t>
      </w:r>
      <w:r w:rsidR="00AD1555">
        <w:rPr>
          <w:rFonts w:ascii="Times New Roman" w:hAnsi="Times New Roman" w:cs="Times New Roman"/>
          <w:sz w:val="24"/>
          <w:szCs w:val="24"/>
        </w:rPr>
        <w:t>s</w:t>
      </w:r>
      <w:r w:rsidRPr="00A93FEF">
        <w:rPr>
          <w:rFonts w:ascii="Times New Roman" w:hAnsi="Times New Roman" w:cs="Times New Roman"/>
          <w:sz w:val="24"/>
          <w:szCs w:val="24"/>
        </w:rPr>
        <w:t xml:space="preserve"> submit</w:t>
      </w:r>
      <w:r w:rsidR="00100C7C">
        <w:rPr>
          <w:rFonts w:ascii="Times New Roman" w:hAnsi="Times New Roman" w:cs="Times New Roman"/>
          <w:sz w:val="24"/>
          <w:szCs w:val="24"/>
        </w:rPr>
        <w:t>ted</w:t>
      </w:r>
      <w:r w:rsidRPr="00A93FEF">
        <w:rPr>
          <w:rFonts w:ascii="Times New Roman" w:hAnsi="Times New Roman" w:cs="Times New Roman"/>
          <w:sz w:val="24"/>
          <w:szCs w:val="24"/>
        </w:rPr>
        <w:t xml:space="preserve"> that </w:t>
      </w:r>
      <w:r w:rsidR="00100C7C">
        <w:rPr>
          <w:rFonts w:ascii="Times New Roman" w:hAnsi="Times New Roman" w:cs="Times New Roman"/>
          <w:sz w:val="24"/>
          <w:szCs w:val="24"/>
        </w:rPr>
        <w:t>r</w:t>
      </w:r>
      <w:r w:rsidRPr="00A93FEF">
        <w:rPr>
          <w:rFonts w:ascii="Times New Roman" w:hAnsi="Times New Roman" w:cs="Times New Roman"/>
          <w:sz w:val="24"/>
          <w:szCs w:val="24"/>
        </w:rPr>
        <w:t xml:space="preserve">eg.31 creates a duty on the </w:t>
      </w:r>
      <w:r w:rsidR="00A2031C">
        <w:rPr>
          <w:rFonts w:ascii="Times New Roman" w:hAnsi="Times New Roman" w:cs="Times New Roman"/>
          <w:sz w:val="24"/>
          <w:szCs w:val="24"/>
        </w:rPr>
        <w:t>l</w:t>
      </w:r>
      <w:r w:rsidRPr="00A93FEF">
        <w:rPr>
          <w:rFonts w:ascii="Times New Roman" w:hAnsi="Times New Roman" w:cs="Times New Roman"/>
          <w:sz w:val="24"/>
          <w:szCs w:val="24"/>
        </w:rPr>
        <w:t xml:space="preserve">ocal </w:t>
      </w:r>
      <w:r w:rsidR="00A2031C">
        <w:rPr>
          <w:rFonts w:ascii="Times New Roman" w:hAnsi="Times New Roman" w:cs="Times New Roman"/>
          <w:sz w:val="24"/>
          <w:szCs w:val="24"/>
        </w:rPr>
        <w:t>a</w:t>
      </w:r>
      <w:r w:rsidRPr="00A93FEF">
        <w:rPr>
          <w:rFonts w:ascii="Times New Roman" w:hAnsi="Times New Roman" w:cs="Times New Roman"/>
          <w:sz w:val="24"/>
          <w:szCs w:val="24"/>
        </w:rPr>
        <w:t>uthority to consult parents, children and teachers in the course of its decision</w:t>
      </w:r>
      <w:r w:rsidR="00115442">
        <w:rPr>
          <w:rFonts w:ascii="Times New Roman" w:hAnsi="Times New Roman" w:cs="Times New Roman"/>
          <w:sz w:val="24"/>
          <w:szCs w:val="24"/>
        </w:rPr>
        <w:t xml:space="preserve">, and that </w:t>
      </w:r>
      <w:r w:rsidR="00C1403B">
        <w:rPr>
          <w:rFonts w:ascii="Times New Roman" w:hAnsi="Times New Roman" w:cs="Times New Roman"/>
          <w:sz w:val="24"/>
          <w:szCs w:val="24"/>
        </w:rPr>
        <w:t>t</w:t>
      </w:r>
      <w:r w:rsidR="00B14214" w:rsidRPr="00190652">
        <w:rPr>
          <w:rFonts w:ascii="Times New Roman" w:hAnsi="Times New Roman" w:cs="Times New Roman"/>
          <w:sz w:val="24"/>
          <w:szCs w:val="24"/>
        </w:rPr>
        <w:t xml:space="preserve">he regulation is integral to the local authority’s exercise of its power. </w:t>
      </w:r>
    </w:p>
    <w:p w14:paraId="49C66325" w14:textId="0B19EAAA" w:rsidR="000B037C" w:rsidRPr="00A93FEF" w:rsidRDefault="00E26D36" w:rsidP="00A574EC">
      <w:pPr>
        <w:pStyle w:val="Indent1"/>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Mr Gillie submitted </w:t>
      </w:r>
      <w:r w:rsidR="000B037C" w:rsidRPr="00A93FEF">
        <w:rPr>
          <w:rFonts w:ascii="Times New Roman" w:hAnsi="Times New Roman" w:cs="Times New Roman"/>
          <w:sz w:val="24"/>
          <w:szCs w:val="24"/>
        </w:rPr>
        <w:t xml:space="preserve">that there is a public benefit </w:t>
      </w:r>
      <w:r w:rsidR="00404AA2">
        <w:rPr>
          <w:rFonts w:ascii="Times New Roman" w:hAnsi="Times New Roman" w:cs="Times New Roman"/>
          <w:sz w:val="24"/>
          <w:szCs w:val="24"/>
        </w:rPr>
        <w:t xml:space="preserve">for each of two reasons </w:t>
      </w:r>
      <w:r w:rsidR="00A2031C">
        <w:rPr>
          <w:rFonts w:ascii="Times New Roman" w:hAnsi="Times New Roman" w:cs="Times New Roman"/>
          <w:sz w:val="24"/>
          <w:szCs w:val="24"/>
        </w:rPr>
        <w:t>in</w:t>
      </w:r>
      <w:r w:rsidR="000B037C" w:rsidRPr="00A93FEF">
        <w:rPr>
          <w:rFonts w:ascii="Times New Roman" w:hAnsi="Times New Roman" w:cs="Times New Roman"/>
          <w:sz w:val="24"/>
          <w:szCs w:val="24"/>
        </w:rPr>
        <w:t xml:space="preserve"> the Tribunal </w:t>
      </w:r>
      <w:r w:rsidR="00A2031C">
        <w:rPr>
          <w:rFonts w:ascii="Times New Roman" w:hAnsi="Times New Roman" w:cs="Times New Roman"/>
          <w:sz w:val="24"/>
          <w:szCs w:val="24"/>
        </w:rPr>
        <w:t>having</w:t>
      </w:r>
      <w:r w:rsidR="00505314">
        <w:rPr>
          <w:rFonts w:ascii="Times New Roman" w:hAnsi="Times New Roman" w:cs="Times New Roman"/>
          <w:sz w:val="24"/>
          <w:szCs w:val="24"/>
        </w:rPr>
        <w:t xml:space="preserve"> the power </w:t>
      </w:r>
      <w:r w:rsidR="00456174">
        <w:rPr>
          <w:rFonts w:ascii="Times New Roman" w:hAnsi="Times New Roman" w:cs="Times New Roman"/>
          <w:sz w:val="24"/>
          <w:szCs w:val="24"/>
        </w:rPr>
        <w:t xml:space="preserve">to </w:t>
      </w:r>
      <w:r w:rsidR="000B037C" w:rsidRPr="00A93FEF">
        <w:rPr>
          <w:rFonts w:ascii="Times New Roman" w:hAnsi="Times New Roman" w:cs="Times New Roman"/>
          <w:sz w:val="24"/>
          <w:szCs w:val="24"/>
        </w:rPr>
        <w:t xml:space="preserve">decide that a s.51(2) decision is invalid where a </w:t>
      </w:r>
      <w:r w:rsidR="00456174">
        <w:rPr>
          <w:rFonts w:ascii="Times New Roman" w:hAnsi="Times New Roman" w:cs="Times New Roman"/>
          <w:sz w:val="24"/>
          <w:szCs w:val="24"/>
        </w:rPr>
        <w:t>l</w:t>
      </w:r>
      <w:r w:rsidR="000B037C" w:rsidRPr="00A93FEF">
        <w:rPr>
          <w:rFonts w:ascii="Times New Roman" w:hAnsi="Times New Roman" w:cs="Times New Roman"/>
          <w:sz w:val="24"/>
          <w:szCs w:val="24"/>
        </w:rPr>
        <w:t xml:space="preserve">ocal </w:t>
      </w:r>
      <w:r w:rsidR="00456174">
        <w:rPr>
          <w:rFonts w:ascii="Times New Roman" w:hAnsi="Times New Roman" w:cs="Times New Roman"/>
          <w:sz w:val="24"/>
          <w:szCs w:val="24"/>
        </w:rPr>
        <w:t>a</w:t>
      </w:r>
      <w:r w:rsidR="000B037C" w:rsidRPr="00A93FEF">
        <w:rPr>
          <w:rFonts w:ascii="Times New Roman" w:hAnsi="Times New Roman" w:cs="Times New Roman"/>
          <w:sz w:val="24"/>
          <w:szCs w:val="24"/>
        </w:rPr>
        <w:t xml:space="preserve">uthority </w:t>
      </w:r>
      <w:r>
        <w:rPr>
          <w:rFonts w:ascii="Times New Roman" w:hAnsi="Times New Roman" w:cs="Times New Roman"/>
          <w:sz w:val="24"/>
          <w:szCs w:val="24"/>
        </w:rPr>
        <w:t>has</w:t>
      </w:r>
      <w:r w:rsidR="000B037C" w:rsidRPr="00A93FEF">
        <w:rPr>
          <w:rFonts w:ascii="Times New Roman" w:hAnsi="Times New Roman" w:cs="Times New Roman"/>
          <w:sz w:val="24"/>
          <w:szCs w:val="24"/>
        </w:rPr>
        <w:t xml:space="preserve"> not complied with mandatory regulations governing the decision. First, the Tribunal should uphold the rule of law in this specialist area over which it has been given primary jurisdiction. Second, it avoids the duplicated costs, delay and confusion created by </w:t>
      </w:r>
      <w:r w:rsidR="00E66DAD">
        <w:rPr>
          <w:rFonts w:ascii="Times New Roman" w:hAnsi="Times New Roman" w:cs="Times New Roman"/>
          <w:sz w:val="24"/>
          <w:szCs w:val="24"/>
        </w:rPr>
        <w:t xml:space="preserve">requiring </w:t>
      </w:r>
      <w:r w:rsidR="000B037C" w:rsidRPr="00A93FEF">
        <w:rPr>
          <w:rFonts w:ascii="Times New Roman" w:hAnsi="Times New Roman" w:cs="Times New Roman"/>
          <w:sz w:val="24"/>
          <w:szCs w:val="24"/>
        </w:rPr>
        <w:t xml:space="preserve">proceedings in the High Court alongside those </w:t>
      </w:r>
      <w:r w:rsidR="00E66DAD">
        <w:rPr>
          <w:rFonts w:ascii="Times New Roman" w:hAnsi="Times New Roman" w:cs="Times New Roman"/>
          <w:sz w:val="24"/>
          <w:szCs w:val="24"/>
        </w:rPr>
        <w:t>in</w:t>
      </w:r>
      <w:r w:rsidR="000B037C" w:rsidRPr="00A93FEF">
        <w:rPr>
          <w:rFonts w:ascii="Times New Roman" w:hAnsi="Times New Roman" w:cs="Times New Roman"/>
          <w:sz w:val="24"/>
          <w:szCs w:val="24"/>
        </w:rPr>
        <w:t xml:space="preserve"> the Tribunal</w:t>
      </w:r>
      <w:r w:rsidR="000B037C" w:rsidRPr="00A93FEF">
        <w:rPr>
          <w:rFonts w:ascii="Times New Roman" w:hAnsi="Times New Roman" w:cs="Times New Roman"/>
          <w:b/>
          <w:bCs/>
          <w:sz w:val="24"/>
          <w:szCs w:val="24"/>
        </w:rPr>
        <w:t xml:space="preserve">. </w:t>
      </w:r>
    </w:p>
    <w:p w14:paraId="5AD64F77" w14:textId="47942E40" w:rsidR="000B037C" w:rsidRPr="00A93FEF"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The Respondent</w:t>
      </w:r>
      <w:r w:rsidR="00E66DAD">
        <w:rPr>
          <w:rFonts w:ascii="Times New Roman" w:hAnsi="Times New Roman" w:cs="Times New Roman"/>
          <w:sz w:val="24"/>
          <w:szCs w:val="24"/>
        </w:rPr>
        <w:t>s</w:t>
      </w:r>
      <w:r w:rsidRPr="00A93FEF">
        <w:rPr>
          <w:rFonts w:ascii="Times New Roman" w:hAnsi="Times New Roman" w:cs="Times New Roman"/>
          <w:sz w:val="24"/>
          <w:szCs w:val="24"/>
        </w:rPr>
        <w:t xml:space="preserve"> cite, by way of analogy, the House of Lords decision in </w:t>
      </w:r>
      <w:r w:rsidR="0056450A">
        <w:rPr>
          <w:rFonts w:ascii="Times New Roman" w:hAnsi="Times New Roman" w:cs="Times New Roman"/>
          <w:i/>
          <w:iCs/>
          <w:sz w:val="24"/>
          <w:szCs w:val="24"/>
        </w:rPr>
        <w:t>Chie</w:t>
      </w:r>
      <w:r w:rsidRPr="007E720E">
        <w:rPr>
          <w:rFonts w:ascii="Times New Roman" w:hAnsi="Times New Roman" w:cs="Times New Roman"/>
          <w:i/>
          <w:iCs/>
          <w:sz w:val="24"/>
          <w:szCs w:val="24"/>
        </w:rPr>
        <w:t xml:space="preserve">f Adjudication Officer and another v Foster </w:t>
      </w:r>
      <w:r w:rsidRPr="00A93FEF">
        <w:rPr>
          <w:rFonts w:ascii="Times New Roman" w:hAnsi="Times New Roman" w:cs="Times New Roman"/>
          <w:sz w:val="24"/>
          <w:szCs w:val="24"/>
        </w:rPr>
        <w:t xml:space="preserve">[1993] </w:t>
      </w:r>
      <w:r w:rsidR="006345B7">
        <w:rPr>
          <w:rFonts w:ascii="Times New Roman" w:hAnsi="Times New Roman" w:cs="Times New Roman"/>
          <w:sz w:val="24"/>
          <w:szCs w:val="24"/>
        </w:rPr>
        <w:t>AC 754</w:t>
      </w:r>
      <w:r w:rsidRPr="00A93FEF">
        <w:rPr>
          <w:rFonts w:ascii="Times New Roman" w:hAnsi="Times New Roman" w:cs="Times New Roman"/>
          <w:sz w:val="24"/>
          <w:szCs w:val="24"/>
        </w:rPr>
        <w:t xml:space="preserve">. </w:t>
      </w:r>
      <w:r w:rsidR="006345B7">
        <w:rPr>
          <w:rFonts w:ascii="Times New Roman" w:hAnsi="Times New Roman" w:cs="Times New Roman"/>
          <w:sz w:val="24"/>
          <w:szCs w:val="24"/>
        </w:rPr>
        <w:t>T</w:t>
      </w:r>
      <w:r w:rsidRPr="00A93FEF">
        <w:rPr>
          <w:rFonts w:ascii="Times New Roman" w:hAnsi="Times New Roman" w:cs="Times New Roman"/>
          <w:sz w:val="24"/>
          <w:szCs w:val="24"/>
        </w:rPr>
        <w:t xml:space="preserve">he House considered the jurisdiction of the </w:t>
      </w:r>
      <w:r w:rsidR="00E02A2A">
        <w:rPr>
          <w:rFonts w:ascii="Times New Roman" w:hAnsi="Times New Roman" w:cs="Times New Roman"/>
          <w:sz w:val="24"/>
          <w:szCs w:val="24"/>
        </w:rPr>
        <w:t>S</w:t>
      </w:r>
      <w:r w:rsidRPr="00A93FEF">
        <w:rPr>
          <w:rFonts w:ascii="Times New Roman" w:hAnsi="Times New Roman" w:cs="Times New Roman"/>
          <w:sz w:val="24"/>
          <w:szCs w:val="24"/>
        </w:rPr>
        <w:t xml:space="preserve">ocial </w:t>
      </w:r>
      <w:r w:rsidR="00E02A2A">
        <w:rPr>
          <w:rFonts w:ascii="Times New Roman" w:hAnsi="Times New Roman" w:cs="Times New Roman"/>
          <w:sz w:val="24"/>
          <w:szCs w:val="24"/>
        </w:rPr>
        <w:t>S</w:t>
      </w:r>
      <w:r w:rsidRPr="00A93FEF">
        <w:rPr>
          <w:rFonts w:ascii="Times New Roman" w:hAnsi="Times New Roman" w:cs="Times New Roman"/>
          <w:sz w:val="24"/>
          <w:szCs w:val="24"/>
        </w:rPr>
        <w:t xml:space="preserve">ecurity </w:t>
      </w:r>
      <w:r w:rsidR="00E02A2A">
        <w:rPr>
          <w:rFonts w:ascii="Times New Roman" w:hAnsi="Times New Roman" w:cs="Times New Roman"/>
          <w:sz w:val="24"/>
          <w:szCs w:val="24"/>
        </w:rPr>
        <w:t>C</w:t>
      </w:r>
      <w:r w:rsidRPr="00A93FEF">
        <w:rPr>
          <w:rFonts w:ascii="Times New Roman" w:hAnsi="Times New Roman" w:cs="Times New Roman"/>
          <w:sz w:val="24"/>
          <w:szCs w:val="24"/>
        </w:rPr>
        <w:t xml:space="preserve">ommissioner in an appeal against the social security appeal tribunal on the ground that the latter had been erroneous in point of law by determining the </w:t>
      </w:r>
      <w:r w:rsidRPr="001B2CC6">
        <w:rPr>
          <w:rFonts w:ascii="Times New Roman" w:hAnsi="Times New Roman" w:cs="Times New Roman"/>
          <w:i/>
          <w:iCs/>
          <w:sz w:val="24"/>
          <w:szCs w:val="24"/>
        </w:rPr>
        <w:t xml:space="preserve">vires </w:t>
      </w:r>
      <w:r w:rsidRPr="00A93FEF">
        <w:rPr>
          <w:rFonts w:ascii="Times New Roman" w:hAnsi="Times New Roman" w:cs="Times New Roman"/>
          <w:sz w:val="24"/>
          <w:szCs w:val="24"/>
        </w:rPr>
        <w:t xml:space="preserve">of regulations promulgated by the </w:t>
      </w:r>
      <w:r w:rsidR="007255AF">
        <w:rPr>
          <w:rFonts w:ascii="Times New Roman" w:hAnsi="Times New Roman" w:cs="Times New Roman"/>
          <w:sz w:val="24"/>
          <w:szCs w:val="24"/>
        </w:rPr>
        <w:t>S</w:t>
      </w:r>
      <w:r w:rsidRPr="00A93FEF">
        <w:rPr>
          <w:rFonts w:ascii="Times New Roman" w:hAnsi="Times New Roman" w:cs="Times New Roman"/>
          <w:sz w:val="24"/>
          <w:szCs w:val="24"/>
        </w:rPr>
        <w:t xml:space="preserve">ecretary of </w:t>
      </w:r>
      <w:r w:rsidR="007255AF">
        <w:rPr>
          <w:rFonts w:ascii="Times New Roman" w:hAnsi="Times New Roman" w:cs="Times New Roman"/>
          <w:sz w:val="24"/>
          <w:szCs w:val="24"/>
        </w:rPr>
        <w:t>S</w:t>
      </w:r>
      <w:r w:rsidRPr="00A93FEF">
        <w:rPr>
          <w:rFonts w:ascii="Times New Roman" w:hAnsi="Times New Roman" w:cs="Times New Roman"/>
          <w:sz w:val="24"/>
          <w:szCs w:val="24"/>
        </w:rPr>
        <w:t xml:space="preserve">tate. The House of Lords found that the </w:t>
      </w:r>
      <w:r w:rsidR="001A1B18">
        <w:rPr>
          <w:rFonts w:ascii="Times New Roman" w:hAnsi="Times New Roman" w:cs="Times New Roman"/>
          <w:sz w:val="24"/>
          <w:szCs w:val="24"/>
        </w:rPr>
        <w:t>Co</w:t>
      </w:r>
      <w:r w:rsidRPr="00A93FEF">
        <w:rPr>
          <w:rFonts w:ascii="Times New Roman" w:hAnsi="Times New Roman" w:cs="Times New Roman"/>
          <w:sz w:val="24"/>
          <w:szCs w:val="24"/>
        </w:rPr>
        <w:t xml:space="preserve">mmissioner’s jurisdiction to determine a statutory appeal on </w:t>
      </w:r>
      <w:r w:rsidR="00727A48">
        <w:rPr>
          <w:rFonts w:ascii="Times New Roman" w:hAnsi="Times New Roman" w:cs="Times New Roman"/>
          <w:sz w:val="24"/>
          <w:szCs w:val="24"/>
        </w:rPr>
        <w:t xml:space="preserve">the basis of </w:t>
      </w:r>
      <w:r w:rsidRPr="00A93FEF">
        <w:rPr>
          <w:rFonts w:ascii="Times New Roman" w:hAnsi="Times New Roman" w:cs="Times New Roman"/>
          <w:sz w:val="24"/>
          <w:szCs w:val="24"/>
        </w:rPr>
        <w:t xml:space="preserve">an error of law extended to determining a challenge to the </w:t>
      </w:r>
      <w:r w:rsidRPr="00A93FEF">
        <w:rPr>
          <w:rFonts w:ascii="Times New Roman" w:hAnsi="Times New Roman" w:cs="Times New Roman"/>
          <w:i/>
          <w:iCs/>
          <w:sz w:val="24"/>
          <w:szCs w:val="24"/>
        </w:rPr>
        <w:t>vires</w:t>
      </w:r>
      <w:r w:rsidRPr="00A93FEF">
        <w:rPr>
          <w:rFonts w:ascii="Times New Roman" w:hAnsi="Times New Roman" w:cs="Times New Roman"/>
          <w:sz w:val="24"/>
          <w:szCs w:val="24"/>
        </w:rPr>
        <w:t xml:space="preserve"> of a provision in secondary legislation</w:t>
      </w:r>
      <w:r w:rsidRPr="00A93FEF">
        <w:rPr>
          <w:rFonts w:ascii="Times New Roman" w:hAnsi="Times New Roman" w:cs="Times New Roman"/>
          <w:b/>
          <w:bCs/>
          <w:sz w:val="24"/>
          <w:szCs w:val="24"/>
        </w:rPr>
        <w:t xml:space="preserve">. </w:t>
      </w:r>
      <w:r w:rsidRPr="00A93FEF">
        <w:rPr>
          <w:rFonts w:ascii="Times New Roman" w:hAnsi="Times New Roman" w:cs="Times New Roman"/>
          <w:sz w:val="24"/>
          <w:szCs w:val="24"/>
        </w:rPr>
        <w:t>The Respondent</w:t>
      </w:r>
      <w:r w:rsidR="00361BEC">
        <w:rPr>
          <w:rFonts w:ascii="Times New Roman" w:hAnsi="Times New Roman" w:cs="Times New Roman"/>
          <w:sz w:val="24"/>
          <w:szCs w:val="24"/>
        </w:rPr>
        <w:t>s</w:t>
      </w:r>
      <w:r w:rsidRPr="00A93FEF">
        <w:rPr>
          <w:rFonts w:ascii="Times New Roman" w:hAnsi="Times New Roman" w:cs="Times New Roman"/>
          <w:sz w:val="24"/>
          <w:szCs w:val="24"/>
        </w:rPr>
        <w:t xml:space="preserve"> argue</w:t>
      </w:r>
      <w:r w:rsidR="00361BEC">
        <w:rPr>
          <w:rFonts w:ascii="Times New Roman" w:hAnsi="Times New Roman" w:cs="Times New Roman"/>
          <w:sz w:val="24"/>
          <w:szCs w:val="24"/>
        </w:rPr>
        <w:t xml:space="preserve"> </w:t>
      </w:r>
      <w:r w:rsidRPr="00A93FEF">
        <w:rPr>
          <w:rFonts w:ascii="Times New Roman" w:hAnsi="Times New Roman" w:cs="Times New Roman"/>
          <w:sz w:val="24"/>
          <w:szCs w:val="24"/>
        </w:rPr>
        <w:t xml:space="preserve">that if a </w:t>
      </w:r>
      <w:r w:rsidR="00271587">
        <w:rPr>
          <w:rFonts w:ascii="Times New Roman" w:hAnsi="Times New Roman" w:cs="Times New Roman"/>
          <w:sz w:val="24"/>
          <w:szCs w:val="24"/>
        </w:rPr>
        <w:t>t</w:t>
      </w:r>
      <w:r w:rsidRPr="00A93FEF">
        <w:rPr>
          <w:rFonts w:ascii="Times New Roman" w:hAnsi="Times New Roman" w:cs="Times New Roman"/>
          <w:sz w:val="24"/>
          <w:szCs w:val="24"/>
        </w:rPr>
        <w:t xml:space="preserve">ribunal may set aside a decision because it is based on </w:t>
      </w:r>
      <w:r w:rsidRPr="00A11EED">
        <w:rPr>
          <w:rFonts w:ascii="Times New Roman" w:hAnsi="Times New Roman" w:cs="Times New Roman"/>
          <w:i/>
          <w:iCs/>
          <w:sz w:val="24"/>
          <w:szCs w:val="24"/>
        </w:rPr>
        <w:t>ultra vires</w:t>
      </w:r>
      <w:r w:rsidRPr="00A93FEF">
        <w:rPr>
          <w:rFonts w:ascii="Times New Roman" w:hAnsi="Times New Roman" w:cs="Times New Roman"/>
          <w:sz w:val="24"/>
          <w:szCs w:val="24"/>
        </w:rPr>
        <w:t xml:space="preserve"> regulations, there is no good reason why </w:t>
      </w:r>
      <w:r w:rsidR="00A53ABA">
        <w:rPr>
          <w:rFonts w:ascii="Times New Roman" w:hAnsi="Times New Roman" w:cs="Times New Roman"/>
          <w:sz w:val="24"/>
          <w:szCs w:val="24"/>
        </w:rPr>
        <w:t>the FTT</w:t>
      </w:r>
      <w:r w:rsidRPr="00A93FEF">
        <w:rPr>
          <w:rFonts w:ascii="Times New Roman" w:hAnsi="Times New Roman" w:cs="Times New Roman"/>
          <w:sz w:val="24"/>
          <w:szCs w:val="24"/>
        </w:rPr>
        <w:t xml:space="preserve"> may not set aside a decision because the </w:t>
      </w:r>
      <w:r w:rsidR="00516BAD">
        <w:rPr>
          <w:rFonts w:ascii="Times New Roman" w:hAnsi="Times New Roman" w:cs="Times New Roman"/>
          <w:sz w:val="24"/>
          <w:szCs w:val="24"/>
        </w:rPr>
        <w:t>procedure required by the relevant</w:t>
      </w:r>
      <w:r w:rsidRPr="00A93FEF">
        <w:rPr>
          <w:rFonts w:ascii="Times New Roman" w:hAnsi="Times New Roman" w:cs="Times New Roman"/>
          <w:sz w:val="24"/>
          <w:szCs w:val="24"/>
        </w:rPr>
        <w:t xml:space="preserve"> </w:t>
      </w:r>
      <w:r w:rsidR="007E2A26">
        <w:rPr>
          <w:rFonts w:ascii="Times New Roman" w:hAnsi="Times New Roman" w:cs="Times New Roman"/>
          <w:sz w:val="24"/>
          <w:szCs w:val="24"/>
        </w:rPr>
        <w:t>r</w:t>
      </w:r>
      <w:r w:rsidRPr="00A93FEF">
        <w:rPr>
          <w:rFonts w:ascii="Times New Roman" w:hAnsi="Times New Roman" w:cs="Times New Roman"/>
          <w:sz w:val="24"/>
          <w:szCs w:val="24"/>
        </w:rPr>
        <w:t xml:space="preserve">egulations </w:t>
      </w:r>
      <w:r w:rsidR="001128CD">
        <w:rPr>
          <w:rFonts w:ascii="Times New Roman" w:hAnsi="Times New Roman" w:cs="Times New Roman"/>
          <w:sz w:val="24"/>
          <w:szCs w:val="24"/>
        </w:rPr>
        <w:t>has</w:t>
      </w:r>
      <w:r w:rsidRPr="00A93FEF">
        <w:rPr>
          <w:rFonts w:ascii="Times New Roman" w:hAnsi="Times New Roman" w:cs="Times New Roman"/>
          <w:sz w:val="24"/>
          <w:szCs w:val="24"/>
        </w:rPr>
        <w:t xml:space="preserve"> not been followed.</w:t>
      </w:r>
    </w:p>
    <w:p w14:paraId="53BAA929" w14:textId="1ABF33AE" w:rsidR="000B037C" w:rsidRPr="00A93FEF" w:rsidRDefault="00936AD7" w:rsidP="00A574EC">
      <w:pPr>
        <w:pStyle w:val="Indent1"/>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8E4C28">
        <w:rPr>
          <w:rFonts w:ascii="Times New Roman" w:hAnsi="Times New Roman" w:cs="Times New Roman"/>
          <w:sz w:val="24"/>
          <w:szCs w:val="24"/>
        </w:rPr>
        <w:t>Respondents argue that</w:t>
      </w:r>
      <w:r w:rsidR="000B037C" w:rsidRPr="00A93FEF">
        <w:rPr>
          <w:rFonts w:ascii="Times New Roman" w:hAnsi="Times New Roman" w:cs="Times New Roman"/>
          <w:sz w:val="24"/>
          <w:szCs w:val="24"/>
        </w:rPr>
        <w:t>: “</w:t>
      </w:r>
      <w:r w:rsidR="008E4C28">
        <w:rPr>
          <w:rFonts w:ascii="Times New Roman" w:hAnsi="Times New Roman" w:cs="Times New Roman"/>
          <w:sz w:val="24"/>
          <w:szCs w:val="24"/>
        </w:rPr>
        <w:t>t</w:t>
      </w:r>
      <w:r w:rsidR="000B037C" w:rsidRPr="008E4C28">
        <w:rPr>
          <w:rFonts w:ascii="Times New Roman" w:hAnsi="Times New Roman" w:cs="Times New Roman"/>
          <w:sz w:val="24"/>
          <w:szCs w:val="24"/>
        </w:rPr>
        <w:t xml:space="preserve">he practical effect of what the Appellant is now advocating is that local authorities can treat the mandatory nature of Reg 31 (and others) as a dead letter, because it does not matter whether the local authority complies with them or not, given the general appeal jurisdiction. That cannot be right, or what Parliament intended.”. </w:t>
      </w:r>
      <w:r w:rsidR="000B037C" w:rsidRPr="00A93FEF">
        <w:rPr>
          <w:rFonts w:ascii="Times New Roman" w:hAnsi="Times New Roman" w:cs="Times New Roman"/>
          <w:sz w:val="24"/>
          <w:szCs w:val="24"/>
        </w:rPr>
        <w:t>The</w:t>
      </w:r>
      <w:r w:rsidR="008E4C28">
        <w:rPr>
          <w:rFonts w:ascii="Times New Roman" w:hAnsi="Times New Roman" w:cs="Times New Roman"/>
          <w:sz w:val="24"/>
          <w:szCs w:val="24"/>
        </w:rPr>
        <w:t xml:space="preserve">y cite the speech </w:t>
      </w:r>
      <w:r w:rsidR="000B037C" w:rsidRPr="00A93FEF">
        <w:rPr>
          <w:rFonts w:ascii="Times New Roman" w:hAnsi="Times New Roman" w:cs="Times New Roman"/>
          <w:sz w:val="24"/>
          <w:szCs w:val="24"/>
        </w:rPr>
        <w:t xml:space="preserve">of Lord Browne-Wilkinson in </w:t>
      </w:r>
      <w:r w:rsidR="000B037C" w:rsidRPr="0056450A">
        <w:rPr>
          <w:rFonts w:ascii="Times New Roman" w:hAnsi="Times New Roman" w:cs="Times New Roman"/>
          <w:i/>
          <w:iCs/>
          <w:sz w:val="24"/>
          <w:szCs w:val="24"/>
        </w:rPr>
        <w:t xml:space="preserve">R v East Sussex CC </w:t>
      </w:r>
      <w:r w:rsidR="007E720E" w:rsidRPr="0056450A">
        <w:rPr>
          <w:rFonts w:ascii="Times New Roman" w:hAnsi="Times New Roman" w:cs="Times New Roman"/>
          <w:i/>
          <w:iCs/>
          <w:sz w:val="24"/>
          <w:szCs w:val="24"/>
        </w:rPr>
        <w:t>e</w:t>
      </w:r>
      <w:r w:rsidR="000B037C" w:rsidRPr="0056450A">
        <w:rPr>
          <w:rFonts w:ascii="Times New Roman" w:hAnsi="Times New Roman" w:cs="Times New Roman"/>
          <w:i/>
          <w:iCs/>
          <w:sz w:val="24"/>
          <w:szCs w:val="24"/>
        </w:rPr>
        <w:t>x p. Tandy</w:t>
      </w:r>
      <w:r w:rsidR="000B037C" w:rsidRPr="00A93FEF">
        <w:rPr>
          <w:rFonts w:ascii="Times New Roman" w:hAnsi="Times New Roman" w:cs="Times New Roman"/>
          <w:sz w:val="24"/>
          <w:szCs w:val="24"/>
        </w:rPr>
        <w:t xml:space="preserve"> [1998] A.C. 714 at 749:</w:t>
      </w:r>
    </w:p>
    <w:p w14:paraId="3AF871E5" w14:textId="77777777" w:rsidR="000B037C" w:rsidRPr="008E4C28" w:rsidRDefault="000B037C" w:rsidP="00B91CA7">
      <w:pPr>
        <w:pStyle w:val="Quote"/>
        <w:rPr>
          <w:i/>
          <w:iCs/>
        </w:rPr>
      </w:pPr>
      <w:r w:rsidRPr="008E4C28">
        <w:t>“Parliament has chosen to impose a statutory duty, as opposed to a power, requiring the local authority to do certain things. In my judgement the courts should be slow to downgrade such duties into what are, in effect, mere discretions over which the court would have very little real control.”</w:t>
      </w:r>
    </w:p>
    <w:p w14:paraId="1CC5D4E2" w14:textId="0F223729" w:rsidR="000B037C" w:rsidRDefault="006B77A6" w:rsidP="00A574EC">
      <w:pPr>
        <w:pStyle w:val="Heading1"/>
        <w:rPr>
          <w:rFonts w:ascii="Times New Roman" w:hAnsi="Times New Roman" w:cs="Times New Roman"/>
          <w:b w:val="0"/>
          <w:bCs w:val="0"/>
          <w:i/>
          <w:iCs/>
          <w:sz w:val="24"/>
          <w:szCs w:val="24"/>
        </w:rPr>
      </w:pPr>
      <w:r>
        <w:rPr>
          <w:rFonts w:ascii="Times New Roman" w:hAnsi="Times New Roman" w:cs="Times New Roman"/>
          <w:b w:val="0"/>
          <w:bCs w:val="0"/>
          <w:i/>
          <w:iCs/>
          <w:sz w:val="24"/>
          <w:szCs w:val="24"/>
        </w:rPr>
        <w:t>Ground 2: the residence question</w:t>
      </w:r>
    </w:p>
    <w:p w14:paraId="09030FD3" w14:textId="77777777" w:rsidR="006A1016" w:rsidRPr="006A1016" w:rsidRDefault="006A1016" w:rsidP="00A574EC"/>
    <w:p w14:paraId="6C849A85" w14:textId="4CA17ADD" w:rsidR="000B037C" w:rsidRDefault="000B037C" w:rsidP="00A574EC">
      <w:pPr>
        <w:pStyle w:val="Heading2"/>
        <w:rPr>
          <w:rFonts w:ascii="Times New Roman" w:hAnsi="Times New Roman" w:cs="Times New Roman"/>
          <w:i/>
          <w:iCs/>
          <w:color w:val="000000" w:themeColor="text1"/>
          <w:sz w:val="24"/>
          <w:szCs w:val="24"/>
        </w:rPr>
      </w:pPr>
      <w:bookmarkStart w:id="12" w:name="_Toc216144038"/>
      <w:r w:rsidRPr="006A1016">
        <w:rPr>
          <w:rFonts w:ascii="Times New Roman" w:hAnsi="Times New Roman" w:cs="Times New Roman"/>
          <w:i/>
          <w:iCs/>
          <w:color w:val="000000" w:themeColor="text1"/>
          <w:sz w:val="24"/>
          <w:szCs w:val="24"/>
        </w:rPr>
        <w:t xml:space="preserve">Appellant’s </w:t>
      </w:r>
      <w:r w:rsidR="0043071D" w:rsidRPr="006A1016">
        <w:rPr>
          <w:rFonts w:ascii="Times New Roman" w:hAnsi="Times New Roman" w:cs="Times New Roman"/>
          <w:i/>
          <w:iCs/>
          <w:color w:val="000000" w:themeColor="text1"/>
          <w:sz w:val="24"/>
          <w:szCs w:val="24"/>
        </w:rPr>
        <w:t>s</w:t>
      </w:r>
      <w:r w:rsidRPr="006A1016">
        <w:rPr>
          <w:rFonts w:ascii="Times New Roman" w:hAnsi="Times New Roman" w:cs="Times New Roman"/>
          <w:i/>
          <w:iCs/>
          <w:color w:val="000000" w:themeColor="text1"/>
          <w:sz w:val="24"/>
          <w:szCs w:val="24"/>
        </w:rPr>
        <w:t>ubmissions</w:t>
      </w:r>
      <w:bookmarkEnd w:id="12"/>
    </w:p>
    <w:p w14:paraId="494F59CC" w14:textId="77777777" w:rsidR="006A1016" w:rsidRPr="006A1016" w:rsidRDefault="006A1016" w:rsidP="00A574EC"/>
    <w:p w14:paraId="1C4874E0" w14:textId="6C19F964" w:rsidR="000B037C" w:rsidRPr="00E11D57"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 xml:space="preserve">The Appellant submits that the Upper Tribunal erred in concluding that an ordinary / habitual residence test applied to deciding whether a child or young person is in a local authority’s area. </w:t>
      </w:r>
      <w:r w:rsidR="00E11D57">
        <w:rPr>
          <w:rFonts w:ascii="Times New Roman" w:hAnsi="Times New Roman" w:cs="Times New Roman"/>
          <w:sz w:val="24"/>
          <w:szCs w:val="24"/>
        </w:rPr>
        <w:t xml:space="preserve"> Mr Line points out that t</w:t>
      </w:r>
      <w:r w:rsidRPr="00E11D57">
        <w:rPr>
          <w:rFonts w:ascii="Times New Roman" w:hAnsi="Times New Roman" w:cs="Times New Roman"/>
          <w:sz w:val="24"/>
          <w:szCs w:val="24"/>
        </w:rPr>
        <w:t xml:space="preserve">here is no reference to an ordinary / habitual residence test in ss.24 or 45 of </w:t>
      </w:r>
      <w:r w:rsidR="00DF2782">
        <w:rPr>
          <w:rFonts w:ascii="Times New Roman" w:hAnsi="Times New Roman" w:cs="Times New Roman"/>
          <w:sz w:val="24"/>
          <w:szCs w:val="24"/>
        </w:rPr>
        <w:t>the 2014 Act</w:t>
      </w:r>
      <w:r w:rsidRPr="00E11D57">
        <w:rPr>
          <w:rFonts w:ascii="Times New Roman" w:hAnsi="Times New Roman" w:cs="Times New Roman"/>
          <w:sz w:val="24"/>
          <w:szCs w:val="24"/>
        </w:rPr>
        <w:t>. S</w:t>
      </w:r>
      <w:r w:rsidR="00DF2782">
        <w:rPr>
          <w:rFonts w:ascii="Times New Roman" w:hAnsi="Times New Roman" w:cs="Times New Roman"/>
          <w:sz w:val="24"/>
          <w:szCs w:val="24"/>
        </w:rPr>
        <w:t xml:space="preserve">ection </w:t>
      </w:r>
      <w:r w:rsidRPr="00E11D57">
        <w:rPr>
          <w:rFonts w:ascii="Times New Roman" w:hAnsi="Times New Roman" w:cs="Times New Roman"/>
          <w:sz w:val="24"/>
          <w:szCs w:val="24"/>
        </w:rPr>
        <w:t xml:space="preserve">24 uses the term </w:t>
      </w:r>
      <w:r w:rsidRPr="00E11D57">
        <w:rPr>
          <w:rFonts w:ascii="Times New Roman" w:hAnsi="Times New Roman" w:cs="Times New Roman"/>
          <w:i/>
          <w:iCs/>
          <w:sz w:val="24"/>
          <w:szCs w:val="24"/>
        </w:rPr>
        <w:t xml:space="preserve">“in the authority’s area” </w:t>
      </w:r>
      <w:r w:rsidRPr="00E11D57">
        <w:rPr>
          <w:rFonts w:ascii="Times New Roman" w:hAnsi="Times New Roman" w:cs="Times New Roman"/>
          <w:sz w:val="24"/>
          <w:szCs w:val="24"/>
        </w:rPr>
        <w:t xml:space="preserve">instead, which </w:t>
      </w:r>
      <w:r w:rsidR="00DF2782">
        <w:rPr>
          <w:rFonts w:ascii="Times New Roman" w:hAnsi="Times New Roman" w:cs="Times New Roman"/>
          <w:sz w:val="24"/>
          <w:szCs w:val="24"/>
        </w:rPr>
        <w:t>creat</w:t>
      </w:r>
      <w:r w:rsidRPr="00E11D57">
        <w:rPr>
          <w:rFonts w:ascii="Times New Roman" w:hAnsi="Times New Roman" w:cs="Times New Roman"/>
          <w:sz w:val="24"/>
          <w:szCs w:val="24"/>
        </w:rPr>
        <w:t>es a physical presence test</w:t>
      </w:r>
      <w:r w:rsidR="00DF2782">
        <w:rPr>
          <w:rFonts w:ascii="Times New Roman" w:hAnsi="Times New Roman" w:cs="Times New Roman"/>
          <w:sz w:val="24"/>
          <w:szCs w:val="24"/>
        </w:rPr>
        <w:t>.</w:t>
      </w:r>
    </w:p>
    <w:p w14:paraId="22B87EE2" w14:textId="77777777" w:rsidR="000B037C" w:rsidRPr="00A93FEF" w:rsidRDefault="000B037C" w:rsidP="00A574EC">
      <w:pPr>
        <w:pStyle w:val="Indent1"/>
        <w:numPr>
          <w:ilvl w:val="0"/>
          <w:numId w:val="11"/>
        </w:numPr>
        <w:spacing w:line="240" w:lineRule="auto"/>
        <w:rPr>
          <w:rFonts w:ascii="Times New Roman" w:hAnsi="Times New Roman" w:cs="Times New Roman"/>
          <w:i/>
          <w:iCs/>
          <w:sz w:val="24"/>
          <w:szCs w:val="24"/>
        </w:rPr>
      </w:pPr>
      <w:r w:rsidRPr="00A93FEF">
        <w:rPr>
          <w:rFonts w:ascii="Times New Roman" w:hAnsi="Times New Roman" w:cs="Times New Roman"/>
          <w:sz w:val="24"/>
          <w:szCs w:val="24"/>
        </w:rPr>
        <w:t xml:space="preserve">Furthermore, even on an ordinary residence test, T was not present within the Appellant’s area and did not practically benefit from his EHCP whilst abroad for two years. </w:t>
      </w:r>
    </w:p>
    <w:p w14:paraId="1AE85ED9" w14:textId="5F42EE36" w:rsidR="000B037C" w:rsidRPr="00A93FEF" w:rsidRDefault="000B037C" w:rsidP="00A574EC">
      <w:pPr>
        <w:pStyle w:val="Indent1"/>
        <w:numPr>
          <w:ilvl w:val="0"/>
          <w:numId w:val="11"/>
        </w:numPr>
        <w:spacing w:line="240" w:lineRule="auto"/>
        <w:rPr>
          <w:rFonts w:ascii="Times New Roman" w:hAnsi="Times New Roman" w:cs="Times New Roman"/>
          <w:i/>
          <w:iCs/>
          <w:sz w:val="24"/>
          <w:szCs w:val="24"/>
        </w:rPr>
      </w:pPr>
      <w:r w:rsidRPr="00A93FEF">
        <w:rPr>
          <w:rFonts w:ascii="Times New Roman" w:hAnsi="Times New Roman" w:cs="Times New Roman"/>
          <w:sz w:val="24"/>
          <w:szCs w:val="24"/>
        </w:rPr>
        <w:t>The Appellant also criticises the Upper Tribunal’s reasoning at [201]-[202] where it relied on s.83(6) of the CFA 2014 – where the material aspect of the provision was only appliable to Wales. It gives no insight into how s.24 should be generally interpreted</w:t>
      </w:r>
      <w:r w:rsidR="00D941B7">
        <w:rPr>
          <w:rFonts w:ascii="Times New Roman" w:hAnsi="Times New Roman" w:cs="Times New Roman"/>
          <w:sz w:val="24"/>
          <w:szCs w:val="24"/>
        </w:rPr>
        <w:t>.</w:t>
      </w:r>
    </w:p>
    <w:p w14:paraId="5F8B6DE4" w14:textId="0577F674" w:rsidR="000B037C" w:rsidRPr="00A93FEF" w:rsidRDefault="000B037C" w:rsidP="00A574EC">
      <w:pPr>
        <w:pStyle w:val="Indent1"/>
        <w:numPr>
          <w:ilvl w:val="0"/>
          <w:numId w:val="11"/>
        </w:numPr>
        <w:spacing w:line="240" w:lineRule="auto"/>
        <w:rPr>
          <w:rFonts w:ascii="Times New Roman" w:hAnsi="Times New Roman" w:cs="Times New Roman"/>
          <w:i/>
          <w:iCs/>
          <w:sz w:val="24"/>
          <w:szCs w:val="24"/>
        </w:rPr>
      </w:pPr>
      <w:r w:rsidRPr="00A93FEF">
        <w:rPr>
          <w:rFonts w:ascii="Times New Roman" w:hAnsi="Times New Roman" w:cs="Times New Roman"/>
          <w:sz w:val="24"/>
          <w:szCs w:val="24"/>
        </w:rPr>
        <w:t xml:space="preserve">The Appellant notes that </w:t>
      </w:r>
      <w:r w:rsidR="001767B8">
        <w:rPr>
          <w:rFonts w:ascii="Times New Roman" w:hAnsi="Times New Roman" w:cs="Times New Roman"/>
          <w:sz w:val="24"/>
          <w:szCs w:val="24"/>
        </w:rPr>
        <w:t>r</w:t>
      </w:r>
      <w:r w:rsidRPr="00A93FEF">
        <w:rPr>
          <w:rFonts w:ascii="Times New Roman" w:hAnsi="Times New Roman" w:cs="Times New Roman"/>
          <w:sz w:val="24"/>
          <w:szCs w:val="24"/>
        </w:rPr>
        <w:t xml:space="preserve">egulation 15 of the </w:t>
      </w:r>
      <w:r w:rsidR="001128CD">
        <w:rPr>
          <w:rFonts w:ascii="Times New Roman" w:hAnsi="Times New Roman" w:cs="Times New Roman"/>
          <w:sz w:val="24"/>
          <w:szCs w:val="24"/>
        </w:rPr>
        <w:t>SEND</w:t>
      </w:r>
      <w:r w:rsidRPr="00A93FEF">
        <w:rPr>
          <w:rFonts w:ascii="Times New Roman" w:hAnsi="Times New Roman" w:cs="Times New Roman"/>
          <w:sz w:val="24"/>
          <w:szCs w:val="24"/>
        </w:rPr>
        <w:t xml:space="preserve"> Regulations, which concerns the transfer of EHCPs from one Local Authority area in England to another, does not use the language of ordinary / habitual residence. It is possible to be ordinarily resident in more than one place, but the </w:t>
      </w:r>
      <w:r w:rsidR="0056059C">
        <w:rPr>
          <w:rFonts w:ascii="Times New Roman" w:hAnsi="Times New Roman" w:cs="Times New Roman"/>
          <w:sz w:val="24"/>
          <w:szCs w:val="24"/>
        </w:rPr>
        <w:t>2014 Act</w:t>
      </w:r>
      <w:r w:rsidRPr="00A93FEF">
        <w:rPr>
          <w:rFonts w:ascii="Times New Roman" w:hAnsi="Times New Roman" w:cs="Times New Roman"/>
          <w:sz w:val="24"/>
          <w:szCs w:val="24"/>
        </w:rPr>
        <w:t xml:space="preserve"> clearly envisages that only one </w:t>
      </w:r>
      <w:r w:rsidR="0056059C">
        <w:rPr>
          <w:rFonts w:ascii="Times New Roman" w:hAnsi="Times New Roman" w:cs="Times New Roman"/>
          <w:sz w:val="24"/>
          <w:szCs w:val="24"/>
        </w:rPr>
        <w:t>l</w:t>
      </w:r>
      <w:r w:rsidRPr="00A93FEF">
        <w:rPr>
          <w:rFonts w:ascii="Times New Roman" w:hAnsi="Times New Roman" w:cs="Times New Roman"/>
          <w:sz w:val="24"/>
          <w:szCs w:val="24"/>
        </w:rPr>
        <w:t xml:space="preserve">ocal </w:t>
      </w:r>
      <w:r w:rsidR="0056059C">
        <w:rPr>
          <w:rFonts w:ascii="Times New Roman" w:hAnsi="Times New Roman" w:cs="Times New Roman"/>
          <w:sz w:val="24"/>
          <w:szCs w:val="24"/>
        </w:rPr>
        <w:t>a</w:t>
      </w:r>
      <w:r w:rsidRPr="00A93FEF">
        <w:rPr>
          <w:rFonts w:ascii="Times New Roman" w:hAnsi="Times New Roman" w:cs="Times New Roman"/>
          <w:sz w:val="24"/>
          <w:szCs w:val="24"/>
        </w:rPr>
        <w:t>uthority ought to be responsible for an EHCP; hence the process for transfer and the physical presence approach.</w:t>
      </w:r>
    </w:p>
    <w:p w14:paraId="32B1F552" w14:textId="41807449" w:rsidR="000B037C" w:rsidRPr="008C6980" w:rsidRDefault="000B037C" w:rsidP="00A574EC">
      <w:pPr>
        <w:pStyle w:val="Indent1"/>
        <w:numPr>
          <w:ilvl w:val="0"/>
          <w:numId w:val="11"/>
        </w:numPr>
        <w:spacing w:line="240" w:lineRule="auto"/>
        <w:rPr>
          <w:rFonts w:ascii="Times New Roman" w:hAnsi="Times New Roman" w:cs="Times New Roman"/>
          <w:b/>
          <w:bCs/>
          <w:i/>
          <w:iCs/>
          <w:sz w:val="24"/>
          <w:szCs w:val="24"/>
        </w:rPr>
      </w:pPr>
      <w:r w:rsidRPr="00A93FEF">
        <w:rPr>
          <w:rFonts w:ascii="Times New Roman" w:hAnsi="Times New Roman" w:cs="Times New Roman"/>
          <w:sz w:val="24"/>
          <w:szCs w:val="24"/>
        </w:rPr>
        <w:t xml:space="preserve">With regard to the </w:t>
      </w:r>
      <w:r w:rsidR="00CE3223">
        <w:rPr>
          <w:rFonts w:ascii="Times New Roman" w:hAnsi="Times New Roman" w:cs="Times New Roman"/>
          <w:sz w:val="24"/>
          <w:szCs w:val="24"/>
        </w:rPr>
        <w:t xml:space="preserve">Armed Forces </w:t>
      </w:r>
      <w:r w:rsidRPr="00A93FEF">
        <w:rPr>
          <w:rFonts w:ascii="Times New Roman" w:hAnsi="Times New Roman" w:cs="Times New Roman"/>
          <w:sz w:val="24"/>
          <w:szCs w:val="24"/>
        </w:rPr>
        <w:t>Act</w:t>
      </w:r>
      <w:r w:rsidR="003E1227">
        <w:rPr>
          <w:rFonts w:ascii="Times New Roman" w:hAnsi="Times New Roman" w:cs="Times New Roman"/>
          <w:sz w:val="24"/>
          <w:szCs w:val="24"/>
        </w:rPr>
        <w:t xml:space="preserve"> 2006</w:t>
      </w:r>
      <w:r w:rsidRPr="00A93FEF">
        <w:rPr>
          <w:rFonts w:ascii="Times New Roman" w:hAnsi="Times New Roman" w:cs="Times New Roman"/>
          <w:sz w:val="24"/>
          <w:szCs w:val="24"/>
        </w:rPr>
        <w:t xml:space="preserve">, the Appellant accepts that these obligations apply to Hampshire (either via </w:t>
      </w:r>
      <w:r w:rsidR="003E1227">
        <w:rPr>
          <w:rFonts w:ascii="Times New Roman" w:hAnsi="Times New Roman" w:cs="Times New Roman"/>
          <w:sz w:val="24"/>
          <w:szCs w:val="24"/>
        </w:rPr>
        <w:t xml:space="preserve">the </w:t>
      </w:r>
      <w:r w:rsidRPr="00A93FEF">
        <w:rPr>
          <w:rFonts w:ascii="Times New Roman" w:hAnsi="Times New Roman" w:cs="Times New Roman"/>
          <w:sz w:val="24"/>
          <w:szCs w:val="24"/>
        </w:rPr>
        <w:t>operation of the 2006 Act or via the Armed Forces Covenant). The Appellant submits, however, that the Upper Tribunal was wrong to reason that the</w:t>
      </w:r>
      <w:r w:rsidR="00895D68">
        <w:rPr>
          <w:rFonts w:ascii="Times New Roman" w:hAnsi="Times New Roman" w:cs="Times New Roman"/>
          <w:sz w:val="24"/>
          <w:szCs w:val="24"/>
        </w:rPr>
        <w:t>ir obligations to Service families</w:t>
      </w:r>
      <w:r w:rsidR="007C4CF2">
        <w:rPr>
          <w:rFonts w:ascii="Times New Roman" w:hAnsi="Times New Roman" w:cs="Times New Roman"/>
          <w:sz w:val="24"/>
          <w:szCs w:val="24"/>
        </w:rPr>
        <w:t xml:space="preserve"> with SEN children</w:t>
      </w:r>
      <w:r w:rsidRPr="00A93FEF">
        <w:rPr>
          <w:rFonts w:ascii="Times New Roman" w:hAnsi="Times New Roman" w:cs="Times New Roman"/>
          <w:sz w:val="24"/>
          <w:szCs w:val="24"/>
        </w:rPr>
        <w:t xml:space="preserve"> can only be met by the </w:t>
      </w:r>
      <w:r w:rsidR="003E1227">
        <w:rPr>
          <w:rFonts w:ascii="Times New Roman" w:hAnsi="Times New Roman" w:cs="Times New Roman"/>
          <w:sz w:val="24"/>
          <w:szCs w:val="24"/>
        </w:rPr>
        <w:t>l</w:t>
      </w:r>
      <w:r w:rsidRPr="00A93FEF">
        <w:rPr>
          <w:rFonts w:ascii="Times New Roman" w:hAnsi="Times New Roman" w:cs="Times New Roman"/>
          <w:sz w:val="24"/>
          <w:szCs w:val="24"/>
        </w:rPr>
        <w:t xml:space="preserve">ocal </w:t>
      </w:r>
      <w:r w:rsidR="003E1227">
        <w:rPr>
          <w:rFonts w:ascii="Times New Roman" w:hAnsi="Times New Roman" w:cs="Times New Roman"/>
          <w:sz w:val="24"/>
          <w:szCs w:val="24"/>
        </w:rPr>
        <w:t>a</w:t>
      </w:r>
      <w:r w:rsidRPr="00A93FEF">
        <w:rPr>
          <w:rFonts w:ascii="Times New Roman" w:hAnsi="Times New Roman" w:cs="Times New Roman"/>
          <w:sz w:val="24"/>
          <w:szCs w:val="24"/>
        </w:rPr>
        <w:t xml:space="preserve">uthority’s maintenance of </w:t>
      </w:r>
      <w:r w:rsidR="008C6980">
        <w:rPr>
          <w:rFonts w:ascii="Times New Roman" w:hAnsi="Times New Roman" w:cs="Times New Roman"/>
          <w:sz w:val="24"/>
          <w:szCs w:val="24"/>
        </w:rPr>
        <w:t>an</w:t>
      </w:r>
      <w:r w:rsidRPr="00A93FEF">
        <w:rPr>
          <w:rFonts w:ascii="Times New Roman" w:hAnsi="Times New Roman" w:cs="Times New Roman"/>
          <w:sz w:val="24"/>
          <w:szCs w:val="24"/>
        </w:rPr>
        <w:t xml:space="preserve"> EHCP through</w:t>
      </w:r>
      <w:r w:rsidR="008C6980">
        <w:rPr>
          <w:rFonts w:ascii="Times New Roman" w:hAnsi="Times New Roman" w:cs="Times New Roman"/>
          <w:sz w:val="24"/>
          <w:szCs w:val="24"/>
        </w:rPr>
        <w:t xml:space="preserve">out </w:t>
      </w:r>
      <w:r w:rsidRPr="00A93FEF">
        <w:rPr>
          <w:rFonts w:ascii="Times New Roman" w:hAnsi="Times New Roman" w:cs="Times New Roman"/>
          <w:sz w:val="24"/>
          <w:szCs w:val="24"/>
        </w:rPr>
        <w:t xml:space="preserve">long periods of absence. </w:t>
      </w:r>
    </w:p>
    <w:p w14:paraId="701D29F2" w14:textId="1AEDE48A" w:rsidR="000B037C" w:rsidRDefault="000B037C" w:rsidP="00A574EC">
      <w:pPr>
        <w:pStyle w:val="Heading2"/>
        <w:rPr>
          <w:rFonts w:ascii="Times New Roman" w:hAnsi="Times New Roman" w:cs="Times New Roman"/>
          <w:i/>
          <w:iCs/>
          <w:color w:val="auto"/>
          <w:sz w:val="24"/>
          <w:szCs w:val="24"/>
        </w:rPr>
      </w:pPr>
      <w:bookmarkStart w:id="13" w:name="_Toc216144039"/>
      <w:r w:rsidRPr="00BC74AA">
        <w:rPr>
          <w:rFonts w:ascii="Times New Roman" w:hAnsi="Times New Roman" w:cs="Times New Roman"/>
          <w:i/>
          <w:iCs/>
          <w:color w:val="auto"/>
          <w:sz w:val="24"/>
          <w:szCs w:val="24"/>
        </w:rPr>
        <w:t>Respondents</w:t>
      </w:r>
      <w:r w:rsidR="001E0FE5">
        <w:rPr>
          <w:rFonts w:ascii="Times New Roman" w:hAnsi="Times New Roman" w:cs="Times New Roman"/>
          <w:i/>
          <w:iCs/>
          <w:color w:val="auto"/>
          <w:sz w:val="24"/>
          <w:szCs w:val="24"/>
        </w:rPr>
        <w:t>’</w:t>
      </w:r>
      <w:r w:rsidRPr="00BC74AA">
        <w:rPr>
          <w:rFonts w:ascii="Times New Roman" w:hAnsi="Times New Roman" w:cs="Times New Roman"/>
          <w:i/>
          <w:iCs/>
          <w:color w:val="auto"/>
          <w:sz w:val="24"/>
          <w:szCs w:val="24"/>
        </w:rPr>
        <w:t xml:space="preserve"> submissions</w:t>
      </w:r>
      <w:bookmarkEnd w:id="13"/>
    </w:p>
    <w:p w14:paraId="51598907" w14:textId="77777777" w:rsidR="006A1016" w:rsidRPr="006A1016" w:rsidRDefault="006A1016" w:rsidP="00A574EC"/>
    <w:p w14:paraId="49786E2D" w14:textId="3CFDDBCF" w:rsidR="000B037C" w:rsidRPr="00A93FEF"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The Respondent</w:t>
      </w:r>
      <w:r w:rsidR="009E4319">
        <w:rPr>
          <w:rFonts w:ascii="Times New Roman" w:hAnsi="Times New Roman" w:cs="Times New Roman"/>
          <w:sz w:val="24"/>
          <w:szCs w:val="24"/>
        </w:rPr>
        <w:t>s</w:t>
      </w:r>
      <w:r w:rsidRPr="00A93FEF">
        <w:rPr>
          <w:rFonts w:ascii="Times New Roman" w:hAnsi="Times New Roman" w:cs="Times New Roman"/>
          <w:sz w:val="24"/>
          <w:szCs w:val="24"/>
        </w:rPr>
        <w:t xml:space="preserve"> submit that the Appellant’s physical presence construction would have significant detrimental consequences at odds with the purpose of the legislation. It would particular</w:t>
      </w:r>
      <w:r w:rsidR="008C6980">
        <w:rPr>
          <w:rFonts w:ascii="Times New Roman" w:hAnsi="Times New Roman" w:cs="Times New Roman"/>
          <w:sz w:val="24"/>
          <w:szCs w:val="24"/>
        </w:rPr>
        <w:t>ly</w:t>
      </w:r>
      <w:r w:rsidRPr="00A93FEF">
        <w:rPr>
          <w:rFonts w:ascii="Times New Roman" w:hAnsi="Times New Roman" w:cs="Times New Roman"/>
          <w:sz w:val="24"/>
          <w:szCs w:val="24"/>
        </w:rPr>
        <w:t xml:space="preserve"> impact children who are looked after by local authorities, and the children of </w:t>
      </w:r>
      <w:r w:rsidR="008C6980">
        <w:rPr>
          <w:rFonts w:ascii="Times New Roman" w:hAnsi="Times New Roman" w:cs="Times New Roman"/>
          <w:sz w:val="24"/>
          <w:szCs w:val="24"/>
        </w:rPr>
        <w:t>S</w:t>
      </w:r>
      <w:r w:rsidRPr="00A93FEF">
        <w:rPr>
          <w:rFonts w:ascii="Times New Roman" w:hAnsi="Times New Roman" w:cs="Times New Roman"/>
          <w:sz w:val="24"/>
          <w:szCs w:val="24"/>
        </w:rPr>
        <w:t xml:space="preserve">ervice families. </w:t>
      </w:r>
    </w:p>
    <w:p w14:paraId="207F85CB" w14:textId="0CD81BAA" w:rsidR="00E66AE6" w:rsidRDefault="000B037C"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The physical presence construction, in the submission of the Respondent</w:t>
      </w:r>
      <w:r w:rsidR="006B77A6">
        <w:rPr>
          <w:rFonts w:ascii="Times New Roman" w:hAnsi="Times New Roman" w:cs="Times New Roman"/>
          <w:sz w:val="24"/>
          <w:szCs w:val="24"/>
        </w:rPr>
        <w:t>s</w:t>
      </w:r>
      <w:r w:rsidRPr="00A93FEF">
        <w:rPr>
          <w:rFonts w:ascii="Times New Roman" w:hAnsi="Times New Roman" w:cs="Times New Roman"/>
          <w:sz w:val="24"/>
          <w:szCs w:val="24"/>
        </w:rPr>
        <w:t xml:space="preserve">, would also create confusion in circumstances of temporary absence (for school holidays, temporary residential placements, or moving between separated parents). </w:t>
      </w:r>
      <w:r w:rsidR="00896C7D">
        <w:rPr>
          <w:rFonts w:ascii="Times New Roman" w:hAnsi="Times New Roman" w:cs="Times New Roman"/>
          <w:sz w:val="24"/>
          <w:szCs w:val="24"/>
        </w:rPr>
        <w:t>By contrast</w:t>
      </w:r>
      <w:r w:rsidRPr="00A93FEF">
        <w:rPr>
          <w:rFonts w:ascii="Times New Roman" w:hAnsi="Times New Roman" w:cs="Times New Roman"/>
          <w:sz w:val="24"/>
          <w:szCs w:val="24"/>
        </w:rPr>
        <w:t>, the factors that go to the question of ordinary / habitual residence are well established (see</w:t>
      </w:r>
      <w:r w:rsidRPr="00A93FEF">
        <w:rPr>
          <w:rFonts w:ascii="Times New Roman" w:hAnsi="Times New Roman" w:cs="Times New Roman"/>
          <w:i/>
          <w:iCs/>
          <w:sz w:val="24"/>
          <w:szCs w:val="24"/>
        </w:rPr>
        <w:t xml:space="preserve"> </w:t>
      </w:r>
      <w:r w:rsidRPr="00595582">
        <w:rPr>
          <w:rFonts w:ascii="Times New Roman" w:hAnsi="Times New Roman" w:cs="Times New Roman"/>
          <w:i/>
          <w:iCs/>
          <w:sz w:val="24"/>
          <w:szCs w:val="24"/>
        </w:rPr>
        <w:t>A v A and another (Children: Habitual Residence) (Reunited International Child Abduction Centre and others intervening)</w:t>
      </w:r>
      <w:r w:rsidRPr="00A93FEF">
        <w:rPr>
          <w:rFonts w:ascii="Times New Roman" w:hAnsi="Times New Roman" w:cs="Times New Roman"/>
          <w:b/>
          <w:bCs/>
          <w:i/>
          <w:iCs/>
          <w:sz w:val="24"/>
          <w:szCs w:val="24"/>
        </w:rPr>
        <w:t xml:space="preserve"> </w:t>
      </w:r>
      <w:r w:rsidRPr="00A93FEF">
        <w:rPr>
          <w:rFonts w:ascii="Times New Roman" w:hAnsi="Times New Roman" w:cs="Times New Roman"/>
          <w:sz w:val="24"/>
          <w:szCs w:val="24"/>
        </w:rPr>
        <w:t>[2013] UKSC 60</w:t>
      </w:r>
      <w:r w:rsidR="002E6D6E">
        <w:rPr>
          <w:rFonts w:ascii="Times New Roman" w:hAnsi="Times New Roman" w:cs="Times New Roman"/>
          <w:sz w:val="24"/>
          <w:szCs w:val="24"/>
        </w:rPr>
        <w:t xml:space="preserve">; </w:t>
      </w:r>
      <w:r w:rsidRPr="00A93FEF">
        <w:rPr>
          <w:rFonts w:ascii="Times New Roman" w:hAnsi="Times New Roman" w:cs="Times New Roman"/>
          <w:sz w:val="24"/>
          <w:szCs w:val="24"/>
        </w:rPr>
        <w:t>[2014] A.C. 1 at [54]).</w:t>
      </w:r>
    </w:p>
    <w:p w14:paraId="27634A94" w14:textId="2B20E1A8" w:rsidR="00692CBF" w:rsidRDefault="00692CBF"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 xml:space="preserve">Furthermore, guidance produced by the Department for Education has </w:t>
      </w:r>
      <w:r w:rsidR="007E2AFB">
        <w:rPr>
          <w:rFonts w:ascii="Times New Roman" w:hAnsi="Times New Roman" w:cs="Times New Roman"/>
          <w:sz w:val="24"/>
          <w:szCs w:val="24"/>
        </w:rPr>
        <w:t xml:space="preserve">since 2009 </w:t>
      </w:r>
      <w:r w:rsidRPr="00A93FEF">
        <w:rPr>
          <w:rFonts w:ascii="Times New Roman" w:hAnsi="Times New Roman" w:cs="Times New Roman"/>
          <w:sz w:val="24"/>
          <w:szCs w:val="24"/>
        </w:rPr>
        <w:t>consistently applied a test of ordinary residence. This guidance is not binding, but the Respondent</w:t>
      </w:r>
      <w:r w:rsidR="008C5A1A">
        <w:rPr>
          <w:rFonts w:ascii="Times New Roman" w:hAnsi="Times New Roman" w:cs="Times New Roman"/>
          <w:sz w:val="24"/>
          <w:szCs w:val="24"/>
        </w:rPr>
        <w:t>s</w:t>
      </w:r>
      <w:r w:rsidRPr="00A93FEF">
        <w:rPr>
          <w:rFonts w:ascii="Times New Roman" w:hAnsi="Times New Roman" w:cs="Times New Roman"/>
          <w:sz w:val="24"/>
          <w:szCs w:val="24"/>
        </w:rPr>
        <w:t xml:space="preserve"> submit that it is persuasive. </w:t>
      </w:r>
    </w:p>
    <w:p w14:paraId="2A9C80EA" w14:textId="4BB0A8E4" w:rsidR="00692CBF" w:rsidRPr="00A93FEF" w:rsidRDefault="00692CBF"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The Respondent</w:t>
      </w:r>
      <w:r w:rsidR="008C5A1A">
        <w:rPr>
          <w:rFonts w:ascii="Times New Roman" w:hAnsi="Times New Roman" w:cs="Times New Roman"/>
          <w:sz w:val="24"/>
          <w:szCs w:val="24"/>
        </w:rPr>
        <w:t>s</w:t>
      </w:r>
      <w:r w:rsidRPr="00A93FEF">
        <w:rPr>
          <w:rFonts w:ascii="Times New Roman" w:hAnsi="Times New Roman" w:cs="Times New Roman"/>
          <w:sz w:val="24"/>
          <w:szCs w:val="24"/>
        </w:rPr>
        <w:t xml:space="preserve"> </w:t>
      </w:r>
      <w:r w:rsidR="00595582">
        <w:rPr>
          <w:rFonts w:ascii="Times New Roman" w:hAnsi="Times New Roman" w:cs="Times New Roman"/>
          <w:sz w:val="24"/>
          <w:szCs w:val="24"/>
        </w:rPr>
        <w:t>note</w:t>
      </w:r>
      <w:r w:rsidR="008C5A1A">
        <w:rPr>
          <w:rFonts w:ascii="Times New Roman" w:hAnsi="Times New Roman" w:cs="Times New Roman"/>
          <w:sz w:val="24"/>
          <w:szCs w:val="24"/>
        </w:rPr>
        <w:t xml:space="preserve"> </w:t>
      </w:r>
      <w:r w:rsidRPr="00A93FEF">
        <w:rPr>
          <w:rFonts w:ascii="Times New Roman" w:hAnsi="Times New Roman" w:cs="Times New Roman"/>
          <w:sz w:val="24"/>
          <w:szCs w:val="24"/>
        </w:rPr>
        <w:t xml:space="preserve">that s.83(6) </w:t>
      </w:r>
      <w:r w:rsidR="00E1308D">
        <w:rPr>
          <w:rFonts w:ascii="Times New Roman" w:hAnsi="Times New Roman" w:cs="Times New Roman"/>
          <w:sz w:val="24"/>
          <w:szCs w:val="24"/>
        </w:rPr>
        <w:t>of the 2014 Act</w:t>
      </w:r>
      <w:r w:rsidRPr="00A93FEF">
        <w:rPr>
          <w:rFonts w:ascii="Times New Roman" w:hAnsi="Times New Roman" w:cs="Times New Roman"/>
          <w:sz w:val="24"/>
          <w:szCs w:val="24"/>
        </w:rPr>
        <w:t xml:space="preserve"> states that:</w:t>
      </w:r>
    </w:p>
    <w:p w14:paraId="510A60A8" w14:textId="1ADD358D" w:rsidR="00692CBF" w:rsidRPr="008A60BB" w:rsidRDefault="006E58F5" w:rsidP="00A574EC">
      <w:pPr>
        <w:pStyle w:val="Quote"/>
        <w:rPr>
          <w:i/>
          <w:iCs/>
        </w:rPr>
      </w:pPr>
      <w:r>
        <w:t>“</w:t>
      </w:r>
      <w:r w:rsidR="00692CBF" w:rsidRPr="008A60BB">
        <w:t>(6) a reference in this Part to a child or young person who is “in the area” of a local authority in England does not include a child or young person who is wholly or mainly resident in the area of a local authority in Wales […]</w:t>
      </w:r>
      <w:r>
        <w:t>”</w:t>
      </w:r>
    </w:p>
    <w:p w14:paraId="3237F29D" w14:textId="0ABD2827" w:rsidR="00692CBF" w:rsidRPr="00431707" w:rsidRDefault="00692CBF"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This suggests that the concept of temporary absence is possible within the</w:t>
      </w:r>
      <w:r w:rsidR="00E1308D">
        <w:rPr>
          <w:rFonts w:ascii="Times New Roman" w:hAnsi="Times New Roman" w:cs="Times New Roman"/>
          <w:sz w:val="24"/>
          <w:szCs w:val="24"/>
        </w:rPr>
        <w:t xml:space="preserve"> </w:t>
      </w:r>
      <w:r w:rsidRPr="00A93FEF">
        <w:rPr>
          <w:rFonts w:ascii="Times New Roman" w:hAnsi="Times New Roman" w:cs="Times New Roman"/>
          <w:sz w:val="24"/>
          <w:szCs w:val="24"/>
        </w:rPr>
        <w:t>2014</w:t>
      </w:r>
      <w:r w:rsidR="00E1308D">
        <w:rPr>
          <w:rFonts w:ascii="Times New Roman" w:hAnsi="Times New Roman" w:cs="Times New Roman"/>
          <w:sz w:val="24"/>
          <w:szCs w:val="24"/>
        </w:rPr>
        <w:t xml:space="preserve"> Act</w:t>
      </w:r>
      <w:r w:rsidR="004B56F5">
        <w:rPr>
          <w:rFonts w:ascii="Times New Roman" w:hAnsi="Times New Roman" w:cs="Times New Roman"/>
          <w:sz w:val="24"/>
          <w:szCs w:val="24"/>
        </w:rPr>
        <w:t xml:space="preserve">. </w:t>
      </w:r>
      <w:r w:rsidRPr="00A93FEF">
        <w:rPr>
          <w:rFonts w:ascii="Times New Roman" w:hAnsi="Times New Roman" w:cs="Times New Roman"/>
          <w:sz w:val="24"/>
          <w:szCs w:val="24"/>
        </w:rPr>
        <w:t xml:space="preserve"> A child may</w:t>
      </w:r>
      <w:r w:rsidR="00E1308D">
        <w:rPr>
          <w:rFonts w:ascii="Times New Roman" w:hAnsi="Times New Roman" w:cs="Times New Roman"/>
          <w:sz w:val="24"/>
          <w:szCs w:val="24"/>
        </w:rPr>
        <w:t xml:space="preserve"> </w:t>
      </w:r>
      <w:r w:rsidRPr="00A93FEF">
        <w:rPr>
          <w:rFonts w:ascii="Times New Roman" w:hAnsi="Times New Roman" w:cs="Times New Roman"/>
          <w:sz w:val="24"/>
          <w:szCs w:val="24"/>
        </w:rPr>
        <w:t xml:space="preserve">be mainly resident in Wales but sometimes resident in an English </w:t>
      </w:r>
      <w:r w:rsidR="004B56F5">
        <w:rPr>
          <w:rFonts w:ascii="Times New Roman" w:hAnsi="Times New Roman" w:cs="Times New Roman"/>
          <w:sz w:val="24"/>
          <w:szCs w:val="24"/>
        </w:rPr>
        <w:t>l</w:t>
      </w:r>
      <w:r w:rsidRPr="00A93FEF">
        <w:rPr>
          <w:rFonts w:ascii="Times New Roman" w:hAnsi="Times New Roman" w:cs="Times New Roman"/>
          <w:sz w:val="24"/>
          <w:szCs w:val="24"/>
        </w:rPr>
        <w:t xml:space="preserve">ocal </w:t>
      </w:r>
      <w:r w:rsidR="004B56F5">
        <w:rPr>
          <w:rFonts w:ascii="Times New Roman" w:hAnsi="Times New Roman" w:cs="Times New Roman"/>
          <w:sz w:val="24"/>
          <w:szCs w:val="24"/>
        </w:rPr>
        <w:t>a</w:t>
      </w:r>
      <w:r w:rsidRPr="00A93FEF">
        <w:rPr>
          <w:rFonts w:ascii="Times New Roman" w:hAnsi="Times New Roman" w:cs="Times New Roman"/>
          <w:sz w:val="24"/>
          <w:szCs w:val="24"/>
        </w:rPr>
        <w:t xml:space="preserve">uthority, but the responsibility of the Welsh </w:t>
      </w:r>
      <w:r w:rsidR="004B56F5">
        <w:rPr>
          <w:rFonts w:ascii="Times New Roman" w:hAnsi="Times New Roman" w:cs="Times New Roman"/>
          <w:sz w:val="24"/>
          <w:szCs w:val="24"/>
        </w:rPr>
        <w:t>l</w:t>
      </w:r>
      <w:r w:rsidRPr="00A93FEF">
        <w:rPr>
          <w:rFonts w:ascii="Times New Roman" w:hAnsi="Times New Roman" w:cs="Times New Roman"/>
          <w:sz w:val="24"/>
          <w:szCs w:val="24"/>
        </w:rPr>
        <w:t xml:space="preserve">ocal </w:t>
      </w:r>
      <w:r w:rsidR="004B56F5">
        <w:rPr>
          <w:rFonts w:ascii="Times New Roman" w:hAnsi="Times New Roman" w:cs="Times New Roman"/>
          <w:sz w:val="24"/>
          <w:szCs w:val="24"/>
        </w:rPr>
        <w:t>a</w:t>
      </w:r>
      <w:r w:rsidRPr="00A93FEF">
        <w:rPr>
          <w:rFonts w:ascii="Times New Roman" w:hAnsi="Times New Roman" w:cs="Times New Roman"/>
          <w:sz w:val="24"/>
          <w:szCs w:val="24"/>
        </w:rPr>
        <w:t xml:space="preserve">uthority.  For the purposes of </w:t>
      </w:r>
      <w:r w:rsidR="004B56F5">
        <w:rPr>
          <w:rFonts w:ascii="Times New Roman" w:hAnsi="Times New Roman" w:cs="Times New Roman"/>
          <w:sz w:val="24"/>
          <w:szCs w:val="24"/>
        </w:rPr>
        <w:t>the equivalent statute in Wales</w:t>
      </w:r>
      <w:r w:rsidRPr="00A93FEF">
        <w:rPr>
          <w:rFonts w:ascii="Times New Roman" w:hAnsi="Times New Roman" w:cs="Times New Roman"/>
          <w:sz w:val="24"/>
          <w:szCs w:val="24"/>
        </w:rPr>
        <w:t xml:space="preserve"> a child may be ‘in the area of the authority’ despite being temporarily absent</w:t>
      </w:r>
      <w:r w:rsidR="00E672B8">
        <w:rPr>
          <w:rFonts w:ascii="Times New Roman" w:hAnsi="Times New Roman" w:cs="Times New Roman"/>
          <w:sz w:val="24"/>
          <w:szCs w:val="24"/>
        </w:rPr>
        <w:t xml:space="preserve"> in England</w:t>
      </w:r>
      <w:r w:rsidRPr="00A93FEF">
        <w:rPr>
          <w:rFonts w:ascii="Times New Roman" w:hAnsi="Times New Roman" w:cs="Times New Roman"/>
          <w:sz w:val="24"/>
          <w:szCs w:val="24"/>
        </w:rPr>
        <w:t>. The Respondent</w:t>
      </w:r>
      <w:r w:rsidR="00AB14A2">
        <w:rPr>
          <w:rFonts w:ascii="Times New Roman" w:hAnsi="Times New Roman" w:cs="Times New Roman"/>
          <w:sz w:val="24"/>
          <w:szCs w:val="24"/>
        </w:rPr>
        <w:t>s</w:t>
      </w:r>
      <w:r w:rsidRPr="00A93FEF">
        <w:rPr>
          <w:rFonts w:ascii="Times New Roman" w:hAnsi="Times New Roman" w:cs="Times New Roman"/>
          <w:sz w:val="24"/>
          <w:szCs w:val="24"/>
        </w:rPr>
        <w:t xml:space="preserve"> submit that it would be surprising </w:t>
      </w:r>
      <w:r w:rsidR="00E672B8">
        <w:rPr>
          <w:rFonts w:ascii="Times New Roman" w:hAnsi="Times New Roman" w:cs="Times New Roman"/>
          <w:sz w:val="24"/>
          <w:szCs w:val="24"/>
        </w:rPr>
        <w:t>if the reverse were not true as well.</w:t>
      </w:r>
    </w:p>
    <w:p w14:paraId="4E8171B2" w14:textId="77777777" w:rsidR="00B91CA7" w:rsidRDefault="00B91CA7" w:rsidP="00A574EC">
      <w:pPr>
        <w:pStyle w:val="Heading2"/>
        <w:rPr>
          <w:rFonts w:ascii="Times New Roman" w:hAnsi="Times New Roman" w:cs="Times New Roman"/>
          <w:i/>
          <w:iCs/>
          <w:color w:val="auto"/>
          <w:sz w:val="24"/>
          <w:szCs w:val="24"/>
        </w:rPr>
      </w:pPr>
      <w:bookmarkStart w:id="14" w:name="_Toc216144042"/>
    </w:p>
    <w:p w14:paraId="27696F7A" w14:textId="5C8752D4" w:rsidR="008C5A1A" w:rsidRDefault="008C5A1A" w:rsidP="00A574EC">
      <w:pPr>
        <w:pStyle w:val="Heading2"/>
        <w:rPr>
          <w:rFonts w:ascii="Times New Roman" w:hAnsi="Times New Roman" w:cs="Times New Roman"/>
          <w:i/>
          <w:iCs/>
          <w:color w:val="auto"/>
          <w:sz w:val="24"/>
          <w:szCs w:val="24"/>
        </w:rPr>
      </w:pPr>
      <w:r>
        <w:rPr>
          <w:rFonts w:ascii="Times New Roman" w:hAnsi="Times New Roman" w:cs="Times New Roman"/>
          <w:i/>
          <w:iCs/>
          <w:color w:val="auto"/>
          <w:sz w:val="24"/>
          <w:szCs w:val="24"/>
        </w:rPr>
        <w:t>Ground 3 – the implementation question</w:t>
      </w:r>
    </w:p>
    <w:p w14:paraId="7AA4832E" w14:textId="77777777" w:rsidR="006A1016" w:rsidRPr="006A1016" w:rsidRDefault="006A1016" w:rsidP="00A574EC"/>
    <w:p w14:paraId="573C8B92" w14:textId="04C75CB2" w:rsidR="00E66AE6" w:rsidRDefault="00E66AE6" w:rsidP="00A574EC">
      <w:pPr>
        <w:pStyle w:val="Heading2"/>
        <w:rPr>
          <w:rFonts w:ascii="Times New Roman" w:hAnsi="Times New Roman" w:cs="Times New Roman"/>
          <w:i/>
          <w:iCs/>
          <w:color w:val="auto"/>
          <w:sz w:val="24"/>
          <w:szCs w:val="24"/>
        </w:rPr>
      </w:pPr>
      <w:r w:rsidRPr="0043071D">
        <w:rPr>
          <w:rFonts w:ascii="Times New Roman" w:hAnsi="Times New Roman" w:cs="Times New Roman"/>
          <w:i/>
          <w:iCs/>
          <w:color w:val="auto"/>
          <w:sz w:val="24"/>
          <w:szCs w:val="24"/>
        </w:rPr>
        <w:t xml:space="preserve">Appellant’s </w:t>
      </w:r>
      <w:r w:rsidR="0043071D">
        <w:rPr>
          <w:rFonts w:ascii="Times New Roman" w:hAnsi="Times New Roman" w:cs="Times New Roman"/>
          <w:i/>
          <w:iCs/>
          <w:color w:val="auto"/>
          <w:sz w:val="24"/>
          <w:szCs w:val="24"/>
        </w:rPr>
        <w:t>s</w:t>
      </w:r>
      <w:r w:rsidRPr="0043071D">
        <w:rPr>
          <w:rFonts w:ascii="Times New Roman" w:hAnsi="Times New Roman" w:cs="Times New Roman"/>
          <w:i/>
          <w:iCs/>
          <w:color w:val="auto"/>
          <w:sz w:val="24"/>
          <w:szCs w:val="24"/>
        </w:rPr>
        <w:t>ubmissions</w:t>
      </w:r>
      <w:bookmarkEnd w:id="14"/>
    </w:p>
    <w:p w14:paraId="27B83F36" w14:textId="77777777" w:rsidR="006A1016" w:rsidRPr="006A1016" w:rsidRDefault="006A1016" w:rsidP="00A574EC"/>
    <w:p w14:paraId="050EB8B9" w14:textId="774B065B" w:rsidR="00E66AE6" w:rsidRPr="00C43AC7" w:rsidRDefault="00E66AE6" w:rsidP="00A574EC">
      <w:pPr>
        <w:pStyle w:val="Indent1"/>
        <w:numPr>
          <w:ilvl w:val="0"/>
          <w:numId w:val="11"/>
        </w:numPr>
        <w:spacing w:line="240" w:lineRule="auto"/>
        <w:rPr>
          <w:rFonts w:ascii="Times New Roman" w:hAnsi="Times New Roman" w:cs="Times New Roman"/>
          <w:sz w:val="24"/>
          <w:szCs w:val="24"/>
        </w:rPr>
      </w:pPr>
      <w:r w:rsidRPr="00C43AC7">
        <w:rPr>
          <w:rFonts w:ascii="Times New Roman" w:hAnsi="Times New Roman" w:cs="Times New Roman"/>
          <w:sz w:val="24"/>
          <w:szCs w:val="24"/>
        </w:rPr>
        <w:t xml:space="preserve">The Appellant submits that the Upper Tribunal erred, in particular at [244]-[250] in its approach to s.42(2) of the 2014 </w:t>
      </w:r>
      <w:r w:rsidR="00C43AC7" w:rsidRPr="00C43AC7">
        <w:rPr>
          <w:rFonts w:ascii="Times New Roman" w:hAnsi="Times New Roman" w:cs="Times New Roman"/>
          <w:sz w:val="24"/>
          <w:szCs w:val="24"/>
        </w:rPr>
        <w:t xml:space="preserve">Act </w:t>
      </w:r>
      <w:r w:rsidRPr="00C43AC7">
        <w:rPr>
          <w:rFonts w:ascii="Times New Roman" w:hAnsi="Times New Roman" w:cs="Times New Roman"/>
          <w:sz w:val="24"/>
          <w:szCs w:val="24"/>
        </w:rPr>
        <w:t>by concluding that a local authority must maintain an EHCP in cases where the child or young person is absent from its area.</w:t>
      </w:r>
      <w:r w:rsidR="00C43AC7" w:rsidRPr="00C43AC7">
        <w:rPr>
          <w:rFonts w:ascii="Times New Roman" w:hAnsi="Times New Roman" w:cs="Times New Roman"/>
          <w:sz w:val="24"/>
          <w:szCs w:val="24"/>
        </w:rPr>
        <w:t xml:space="preserve"> </w:t>
      </w:r>
      <w:r w:rsidRPr="00C43AC7">
        <w:rPr>
          <w:rFonts w:ascii="Times New Roman" w:hAnsi="Times New Roman" w:cs="Times New Roman"/>
          <w:sz w:val="24"/>
          <w:szCs w:val="24"/>
        </w:rPr>
        <w:t>S.42(2) creates an absolute and non-delegable duty</w:t>
      </w:r>
      <w:r w:rsidR="006A1EC6">
        <w:rPr>
          <w:rFonts w:ascii="Times New Roman" w:hAnsi="Times New Roman" w:cs="Times New Roman"/>
          <w:sz w:val="24"/>
          <w:szCs w:val="24"/>
        </w:rPr>
        <w:t>,</w:t>
      </w:r>
      <w:r w:rsidRPr="00C43AC7">
        <w:rPr>
          <w:rFonts w:ascii="Times New Roman" w:hAnsi="Times New Roman" w:cs="Times New Roman"/>
          <w:sz w:val="24"/>
          <w:szCs w:val="24"/>
        </w:rPr>
        <w:t xml:space="preserve"> where a </w:t>
      </w:r>
      <w:r w:rsidR="006A1EC6">
        <w:rPr>
          <w:rFonts w:ascii="Times New Roman" w:hAnsi="Times New Roman" w:cs="Times New Roman"/>
          <w:sz w:val="24"/>
          <w:szCs w:val="24"/>
        </w:rPr>
        <w:t>l</w:t>
      </w:r>
      <w:r w:rsidRPr="00C43AC7">
        <w:rPr>
          <w:rFonts w:ascii="Times New Roman" w:hAnsi="Times New Roman" w:cs="Times New Roman"/>
          <w:sz w:val="24"/>
          <w:szCs w:val="24"/>
        </w:rPr>
        <w:t xml:space="preserve">ocal </w:t>
      </w:r>
      <w:r w:rsidR="006A1EC6">
        <w:rPr>
          <w:rFonts w:ascii="Times New Roman" w:hAnsi="Times New Roman" w:cs="Times New Roman"/>
          <w:sz w:val="24"/>
          <w:szCs w:val="24"/>
        </w:rPr>
        <w:t>a</w:t>
      </w:r>
      <w:r w:rsidRPr="00C43AC7">
        <w:rPr>
          <w:rFonts w:ascii="Times New Roman" w:hAnsi="Times New Roman" w:cs="Times New Roman"/>
          <w:sz w:val="24"/>
          <w:szCs w:val="24"/>
        </w:rPr>
        <w:t>uthority maintains an EHCP</w:t>
      </w:r>
      <w:r w:rsidR="006A1EC6">
        <w:rPr>
          <w:rFonts w:ascii="Times New Roman" w:hAnsi="Times New Roman" w:cs="Times New Roman"/>
          <w:sz w:val="24"/>
          <w:szCs w:val="24"/>
        </w:rPr>
        <w:t xml:space="preserve">, </w:t>
      </w:r>
      <w:r w:rsidRPr="00C43AC7">
        <w:rPr>
          <w:rFonts w:ascii="Times New Roman" w:hAnsi="Times New Roman" w:cs="Times New Roman"/>
          <w:sz w:val="24"/>
          <w:szCs w:val="24"/>
        </w:rPr>
        <w:t xml:space="preserve">to secure the special educational provision specified within it. </w:t>
      </w:r>
    </w:p>
    <w:p w14:paraId="20D14EBA" w14:textId="2D19AE67" w:rsidR="00E66AE6" w:rsidRPr="00A93FEF" w:rsidRDefault="00E66AE6"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At [244] the Upper Tribunal held that: “</w:t>
      </w:r>
      <w:r w:rsidRPr="00A93FEF">
        <w:rPr>
          <w:rFonts w:ascii="Times New Roman" w:hAnsi="Times New Roman" w:cs="Times New Roman"/>
          <w:i/>
          <w:iCs/>
          <w:sz w:val="24"/>
          <w:szCs w:val="24"/>
        </w:rPr>
        <w:t>what the tribunal was saying was that, in the circumstances of T’s case, the Council could maintain the EHCP, but that it was not obliged to take steps to secure the provision specified within it.”</w:t>
      </w:r>
      <w:r w:rsidRPr="00A93FEF">
        <w:rPr>
          <w:rFonts w:ascii="Times New Roman" w:hAnsi="Times New Roman" w:cs="Times New Roman"/>
          <w:sz w:val="24"/>
          <w:szCs w:val="24"/>
        </w:rPr>
        <w:t xml:space="preserve"> The Appellant argues that if the Appellant was not able to secure provision because T was abroad for a significant period in Dubai, the Appellant acted lawfully in ceasing to maintain the EHCP by applying s.45 of the CFA 2014. </w:t>
      </w:r>
    </w:p>
    <w:p w14:paraId="7C451A9F" w14:textId="0FAF2869" w:rsidR="00E66AE6" w:rsidRPr="00155AE8" w:rsidRDefault="00E66AE6" w:rsidP="00A574EC">
      <w:pPr>
        <w:pStyle w:val="Indent1"/>
        <w:numPr>
          <w:ilvl w:val="0"/>
          <w:numId w:val="11"/>
        </w:numPr>
        <w:spacing w:line="240" w:lineRule="auto"/>
        <w:rPr>
          <w:rFonts w:ascii="Times New Roman" w:hAnsi="Times New Roman" w:cs="Times New Roman"/>
          <w:sz w:val="24"/>
          <w:szCs w:val="24"/>
        </w:rPr>
      </w:pPr>
      <w:r w:rsidRPr="00155AE8">
        <w:rPr>
          <w:rFonts w:ascii="Times New Roman" w:hAnsi="Times New Roman" w:cs="Times New Roman"/>
          <w:sz w:val="24"/>
          <w:szCs w:val="24"/>
        </w:rPr>
        <w:t xml:space="preserve">The Appellant argues that the Upper Tribunal’s judgment creates difficulties for local authorities. It leaves uncertain whether a local authority must facilitate special education provision abroad; how annual review obligations can be performed effectively; </w:t>
      </w:r>
      <w:r w:rsidR="00F74F0F">
        <w:rPr>
          <w:rFonts w:ascii="Times New Roman" w:hAnsi="Times New Roman" w:cs="Times New Roman"/>
          <w:sz w:val="24"/>
          <w:szCs w:val="24"/>
        </w:rPr>
        <w:t xml:space="preserve">whether </w:t>
      </w:r>
      <w:r w:rsidRPr="00155AE8">
        <w:rPr>
          <w:rFonts w:ascii="Times New Roman" w:hAnsi="Times New Roman" w:cs="Times New Roman"/>
          <w:sz w:val="24"/>
          <w:szCs w:val="24"/>
        </w:rPr>
        <w:t xml:space="preserve">school or college places need to be kept open during lengthy periods of absence at a cost to the local authority and to the detriment of other pupils. Furthermore, such concerns are not unique to </w:t>
      </w:r>
      <w:r w:rsidR="00073567">
        <w:rPr>
          <w:rFonts w:ascii="Times New Roman" w:hAnsi="Times New Roman" w:cs="Times New Roman"/>
          <w:sz w:val="24"/>
          <w:szCs w:val="24"/>
        </w:rPr>
        <w:t>S</w:t>
      </w:r>
      <w:r w:rsidRPr="00155AE8">
        <w:rPr>
          <w:rFonts w:ascii="Times New Roman" w:hAnsi="Times New Roman" w:cs="Times New Roman"/>
          <w:sz w:val="24"/>
          <w:szCs w:val="24"/>
        </w:rPr>
        <w:t>ervice families, but to any families where one parent faces secondment abroad in the course of their employment</w:t>
      </w:r>
      <w:r w:rsidR="00431707" w:rsidRPr="00155AE8">
        <w:rPr>
          <w:rFonts w:ascii="Times New Roman" w:hAnsi="Times New Roman" w:cs="Times New Roman"/>
          <w:sz w:val="24"/>
          <w:szCs w:val="24"/>
        </w:rPr>
        <w:t>.</w:t>
      </w:r>
    </w:p>
    <w:p w14:paraId="021B4631" w14:textId="78BE54BD" w:rsidR="00E66AE6" w:rsidRDefault="00E66AE6" w:rsidP="00A574EC">
      <w:pPr>
        <w:pStyle w:val="Heading2"/>
        <w:rPr>
          <w:rFonts w:ascii="Times New Roman" w:hAnsi="Times New Roman" w:cs="Times New Roman"/>
          <w:i/>
          <w:iCs/>
          <w:color w:val="auto"/>
          <w:sz w:val="24"/>
          <w:szCs w:val="24"/>
        </w:rPr>
      </w:pPr>
      <w:bookmarkStart w:id="15" w:name="_Toc216144043"/>
      <w:r w:rsidRPr="008A60BB">
        <w:rPr>
          <w:rFonts w:ascii="Times New Roman" w:hAnsi="Times New Roman" w:cs="Times New Roman"/>
          <w:i/>
          <w:iCs/>
          <w:color w:val="auto"/>
          <w:sz w:val="24"/>
          <w:szCs w:val="24"/>
        </w:rPr>
        <w:t>Respondents</w:t>
      </w:r>
      <w:r w:rsidR="001305C7" w:rsidRPr="008A60BB">
        <w:rPr>
          <w:rFonts w:ascii="Times New Roman" w:hAnsi="Times New Roman" w:cs="Times New Roman"/>
          <w:i/>
          <w:iCs/>
          <w:color w:val="auto"/>
          <w:sz w:val="24"/>
          <w:szCs w:val="24"/>
        </w:rPr>
        <w:t>’</w:t>
      </w:r>
      <w:r w:rsidRPr="008A60BB">
        <w:rPr>
          <w:rFonts w:ascii="Times New Roman" w:hAnsi="Times New Roman" w:cs="Times New Roman"/>
          <w:i/>
          <w:iCs/>
          <w:color w:val="auto"/>
          <w:sz w:val="24"/>
          <w:szCs w:val="24"/>
        </w:rPr>
        <w:t xml:space="preserve"> </w:t>
      </w:r>
      <w:r w:rsidR="000F49BF" w:rsidRPr="008A60BB">
        <w:rPr>
          <w:rFonts w:ascii="Times New Roman" w:hAnsi="Times New Roman" w:cs="Times New Roman"/>
          <w:i/>
          <w:iCs/>
          <w:color w:val="auto"/>
          <w:sz w:val="24"/>
          <w:szCs w:val="24"/>
        </w:rPr>
        <w:t>s</w:t>
      </w:r>
      <w:r w:rsidRPr="008A60BB">
        <w:rPr>
          <w:rFonts w:ascii="Times New Roman" w:hAnsi="Times New Roman" w:cs="Times New Roman"/>
          <w:i/>
          <w:iCs/>
          <w:color w:val="auto"/>
          <w:sz w:val="24"/>
          <w:szCs w:val="24"/>
        </w:rPr>
        <w:t>ubmissions</w:t>
      </w:r>
      <w:bookmarkEnd w:id="15"/>
    </w:p>
    <w:p w14:paraId="3DB6E334" w14:textId="77777777" w:rsidR="006A1016" w:rsidRPr="006A1016" w:rsidRDefault="006A1016" w:rsidP="00A574EC"/>
    <w:p w14:paraId="7107D438" w14:textId="2C84EFB0" w:rsidR="00E66AE6" w:rsidRPr="00304104" w:rsidRDefault="00E66AE6" w:rsidP="00A574EC">
      <w:pPr>
        <w:pStyle w:val="Indent1"/>
        <w:numPr>
          <w:ilvl w:val="0"/>
          <w:numId w:val="11"/>
        </w:numPr>
        <w:spacing w:line="240" w:lineRule="auto"/>
        <w:rPr>
          <w:rFonts w:ascii="Times New Roman" w:hAnsi="Times New Roman" w:cs="Times New Roman"/>
          <w:sz w:val="24"/>
          <w:szCs w:val="24"/>
        </w:rPr>
      </w:pPr>
      <w:r w:rsidRPr="00304104">
        <w:rPr>
          <w:rFonts w:ascii="Times New Roman" w:hAnsi="Times New Roman" w:cs="Times New Roman"/>
          <w:sz w:val="24"/>
          <w:szCs w:val="24"/>
        </w:rPr>
        <w:t>The Respondent</w:t>
      </w:r>
      <w:r w:rsidR="00870DEB">
        <w:rPr>
          <w:rFonts w:ascii="Times New Roman" w:hAnsi="Times New Roman" w:cs="Times New Roman"/>
          <w:sz w:val="24"/>
          <w:szCs w:val="24"/>
        </w:rPr>
        <w:t>s</w:t>
      </w:r>
      <w:r w:rsidRPr="00304104">
        <w:rPr>
          <w:rFonts w:ascii="Times New Roman" w:hAnsi="Times New Roman" w:cs="Times New Roman"/>
          <w:sz w:val="24"/>
          <w:szCs w:val="24"/>
        </w:rPr>
        <w:t xml:space="preserve"> submit that it does not follow from the fact that the s.42(2) duty is absolute and non-delegable that a </w:t>
      </w:r>
      <w:r w:rsidR="00F74F0F" w:rsidRPr="00304104">
        <w:rPr>
          <w:rFonts w:ascii="Times New Roman" w:hAnsi="Times New Roman" w:cs="Times New Roman"/>
          <w:sz w:val="24"/>
          <w:szCs w:val="24"/>
        </w:rPr>
        <w:t>l</w:t>
      </w:r>
      <w:r w:rsidRPr="00304104">
        <w:rPr>
          <w:rFonts w:ascii="Times New Roman" w:hAnsi="Times New Roman" w:cs="Times New Roman"/>
          <w:sz w:val="24"/>
          <w:szCs w:val="24"/>
        </w:rPr>
        <w:t xml:space="preserve">ocal </w:t>
      </w:r>
      <w:r w:rsidR="00F74F0F" w:rsidRPr="00304104">
        <w:rPr>
          <w:rFonts w:ascii="Times New Roman" w:hAnsi="Times New Roman" w:cs="Times New Roman"/>
          <w:sz w:val="24"/>
          <w:szCs w:val="24"/>
        </w:rPr>
        <w:t>a</w:t>
      </w:r>
      <w:r w:rsidRPr="00304104">
        <w:rPr>
          <w:rFonts w:ascii="Times New Roman" w:hAnsi="Times New Roman" w:cs="Times New Roman"/>
          <w:sz w:val="24"/>
          <w:szCs w:val="24"/>
        </w:rPr>
        <w:t>uthority has no choice but to cease to maintain an EHCP if a person is temporarily absent from its area.</w:t>
      </w:r>
      <w:r w:rsidR="00304104" w:rsidRPr="00304104">
        <w:rPr>
          <w:rFonts w:ascii="Times New Roman" w:hAnsi="Times New Roman" w:cs="Times New Roman"/>
          <w:sz w:val="24"/>
          <w:szCs w:val="24"/>
        </w:rPr>
        <w:t xml:space="preserve"> </w:t>
      </w:r>
      <w:r w:rsidR="00304104">
        <w:rPr>
          <w:rFonts w:ascii="Times New Roman" w:hAnsi="Times New Roman" w:cs="Times New Roman"/>
          <w:sz w:val="24"/>
          <w:szCs w:val="24"/>
        </w:rPr>
        <w:t>T</w:t>
      </w:r>
      <w:r w:rsidRPr="00304104">
        <w:rPr>
          <w:rFonts w:ascii="Times New Roman" w:hAnsi="Times New Roman" w:cs="Times New Roman"/>
          <w:sz w:val="24"/>
          <w:szCs w:val="24"/>
        </w:rPr>
        <w:t xml:space="preserve">here are two mechanisms within the statute which permit a </w:t>
      </w:r>
      <w:r w:rsidR="00073567">
        <w:rPr>
          <w:rFonts w:ascii="Times New Roman" w:hAnsi="Times New Roman" w:cs="Times New Roman"/>
          <w:sz w:val="24"/>
          <w:szCs w:val="24"/>
        </w:rPr>
        <w:t>l</w:t>
      </w:r>
      <w:r w:rsidRPr="00304104">
        <w:rPr>
          <w:rFonts w:ascii="Times New Roman" w:hAnsi="Times New Roman" w:cs="Times New Roman"/>
          <w:sz w:val="24"/>
          <w:szCs w:val="24"/>
        </w:rPr>
        <w:t xml:space="preserve">ocal </w:t>
      </w:r>
      <w:r w:rsidR="00073567">
        <w:rPr>
          <w:rFonts w:ascii="Times New Roman" w:hAnsi="Times New Roman" w:cs="Times New Roman"/>
          <w:sz w:val="24"/>
          <w:szCs w:val="24"/>
        </w:rPr>
        <w:t>a</w:t>
      </w:r>
      <w:r w:rsidRPr="00304104">
        <w:rPr>
          <w:rFonts w:ascii="Times New Roman" w:hAnsi="Times New Roman" w:cs="Times New Roman"/>
          <w:sz w:val="24"/>
          <w:szCs w:val="24"/>
        </w:rPr>
        <w:t xml:space="preserve">uthority to maintain an EHCP in circumstances where a person is temporarily absent. S.42(5) disapplies the </w:t>
      </w:r>
      <w:r w:rsidR="00B45BD4">
        <w:rPr>
          <w:rFonts w:ascii="Times New Roman" w:hAnsi="Times New Roman" w:cs="Times New Roman"/>
          <w:sz w:val="24"/>
          <w:szCs w:val="24"/>
        </w:rPr>
        <w:t>a</w:t>
      </w:r>
      <w:r w:rsidRPr="00304104">
        <w:rPr>
          <w:rFonts w:ascii="Times New Roman" w:hAnsi="Times New Roman" w:cs="Times New Roman"/>
          <w:sz w:val="24"/>
          <w:szCs w:val="24"/>
        </w:rPr>
        <w:t>uthority’s s.42(2) duty where a parent (or young person) has made suitable alternative arrangements. The Respondent</w:t>
      </w:r>
      <w:r w:rsidR="00870DEB">
        <w:rPr>
          <w:rFonts w:ascii="Times New Roman" w:hAnsi="Times New Roman" w:cs="Times New Roman"/>
          <w:sz w:val="24"/>
          <w:szCs w:val="24"/>
        </w:rPr>
        <w:t>s</w:t>
      </w:r>
      <w:r w:rsidRPr="00304104">
        <w:rPr>
          <w:rFonts w:ascii="Times New Roman" w:hAnsi="Times New Roman" w:cs="Times New Roman"/>
          <w:sz w:val="24"/>
          <w:szCs w:val="24"/>
        </w:rPr>
        <w:t xml:space="preserve"> submit that this is the case here. Alternatively, </w:t>
      </w:r>
      <w:r w:rsidR="00B45BD4">
        <w:rPr>
          <w:rFonts w:ascii="Times New Roman" w:hAnsi="Times New Roman" w:cs="Times New Roman"/>
          <w:sz w:val="24"/>
          <w:szCs w:val="24"/>
        </w:rPr>
        <w:t>s</w:t>
      </w:r>
      <w:r w:rsidR="001128CD">
        <w:rPr>
          <w:rFonts w:ascii="Times New Roman" w:hAnsi="Times New Roman" w:cs="Times New Roman"/>
          <w:sz w:val="24"/>
          <w:szCs w:val="24"/>
        </w:rPr>
        <w:t>.</w:t>
      </w:r>
      <w:r w:rsidRPr="00304104">
        <w:rPr>
          <w:rFonts w:ascii="Times New Roman" w:hAnsi="Times New Roman" w:cs="Times New Roman"/>
          <w:sz w:val="24"/>
          <w:szCs w:val="24"/>
        </w:rPr>
        <w:t xml:space="preserve">44(3) gives a </w:t>
      </w:r>
      <w:r w:rsidR="00B45BD4">
        <w:rPr>
          <w:rFonts w:ascii="Times New Roman" w:hAnsi="Times New Roman" w:cs="Times New Roman"/>
          <w:sz w:val="24"/>
          <w:szCs w:val="24"/>
        </w:rPr>
        <w:t>l</w:t>
      </w:r>
      <w:r w:rsidRPr="00304104">
        <w:rPr>
          <w:rFonts w:ascii="Times New Roman" w:hAnsi="Times New Roman" w:cs="Times New Roman"/>
          <w:sz w:val="24"/>
          <w:szCs w:val="24"/>
        </w:rPr>
        <w:t xml:space="preserve">ocal </w:t>
      </w:r>
      <w:r w:rsidR="00B45BD4">
        <w:rPr>
          <w:rFonts w:ascii="Times New Roman" w:hAnsi="Times New Roman" w:cs="Times New Roman"/>
          <w:sz w:val="24"/>
          <w:szCs w:val="24"/>
        </w:rPr>
        <w:t>a</w:t>
      </w:r>
      <w:r w:rsidRPr="00304104">
        <w:rPr>
          <w:rFonts w:ascii="Times New Roman" w:hAnsi="Times New Roman" w:cs="Times New Roman"/>
          <w:sz w:val="24"/>
          <w:szCs w:val="24"/>
        </w:rPr>
        <w:t xml:space="preserve">uthority the power to secure a reassessment of a child’s needs if it thinks it necessary. If a child were moving to a place where it would be impossible for the </w:t>
      </w:r>
      <w:r w:rsidR="00B45BD4">
        <w:rPr>
          <w:rFonts w:ascii="Times New Roman" w:hAnsi="Times New Roman" w:cs="Times New Roman"/>
          <w:sz w:val="24"/>
          <w:szCs w:val="24"/>
        </w:rPr>
        <w:t>a</w:t>
      </w:r>
      <w:r w:rsidRPr="00304104">
        <w:rPr>
          <w:rFonts w:ascii="Times New Roman" w:hAnsi="Times New Roman" w:cs="Times New Roman"/>
          <w:sz w:val="24"/>
          <w:szCs w:val="24"/>
        </w:rPr>
        <w:t xml:space="preserve">uthority to secure the EHCP provision, then </w:t>
      </w:r>
      <w:r w:rsidR="0032277A">
        <w:rPr>
          <w:rFonts w:ascii="Times New Roman" w:hAnsi="Times New Roman" w:cs="Times New Roman"/>
          <w:sz w:val="24"/>
          <w:szCs w:val="24"/>
        </w:rPr>
        <w:t xml:space="preserve">it </w:t>
      </w:r>
      <w:r w:rsidRPr="00304104">
        <w:rPr>
          <w:rFonts w:ascii="Times New Roman" w:hAnsi="Times New Roman" w:cs="Times New Roman"/>
          <w:sz w:val="24"/>
          <w:szCs w:val="24"/>
        </w:rPr>
        <w:t xml:space="preserve">could reassess the child’s needs </w:t>
      </w:r>
      <w:r w:rsidR="00D7104D">
        <w:rPr>
          <w:rFonts w:ascii="Times New Roman" w:hAnsi="Times New Roman" w:cs="Times New Roman"/>
          <w:sz w:val="24"/>
          <w:szCs w:val="24"/>
        </w:rPr>
        <w:t>accordingly.</w:t>
      </w:r>
    </w:p>
    <w:p w14:paraId="54656CE4" w14:textId="6DD08B8C" w:rsidR="00E66AE6" w:rsidRPr="00A93FEF" w:rsidRDefault="00E66AE6"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The Respondent</w:t>
      </w:r>
      <w:r w:rsidR="00F40C58">
        <w:rPr>
          <w:rFonts w:ascii="Times New Roman" w:hAnsi="Times New Roman" w:cs="Times New Roman"/>
          <w:sz w:val="24"/>
          <w:szCs w:val="24"/>
        </w:rPr>
        <w:t xml:space="preserve">s </w:t>
      </w:r>
      <w:r w:rsidRPr="00A93FEF">
        <w:rPr>
          <w:rFonts w:ascii="Times New Roman" w:hAnsi="Times New Roman" w:cs="Times New Roman"/>
          <w:sz w:val="24"/>
          <w:szCs w:val="24"/>
        </w:rPr>
        <w:t>highlight that not being able to secure provision for an EHCP is not a ground for ceasing to maintain it. The only lawful grounds for ceasing to maintain an EHCP are found in s</w:t>
      </w:r>
      <w:r w:rsidR="00870DEB">
        <w:rPr>
          <w:rFonts w:ascii="Times New Roman" w:hAnsi="Times New Roman" w:cs="Times New Roman"/>
          <w:sz w:val="24"/>
          <w:szCs w:val="24"/>
        </w:rPr>
        <w:t xml:space="preserve"> </w:t>
      </w:r>
      <w:r w:rsidRPr="00A93FEF">
        <w:rPr>
          <w:rFonts w:ascii="Times New Roman" w:hAnsi="Times New Roman" w:cs="Times New Roman"/>
          <w:sz w:val="24"/>
          <w:szCs w:val="24"/>
        </w:rPr>
        <w:t xml:space="preserve">45(1) </w:t>
      </w:r>
      <w:r w:rsidR="00870DEB">
        <w:rPr>
          <w:rFonts w:ascii="Times New Roman" w:hAnsi="Times New Roman" w:cs="Times New Roman"/>
          <w:sz w:val="24"/>
          <w:szCs w:val="24"/>
        </w:rPr>
        <w:t>of the 2014 Act</w:t>
      </w:r>
      <w:r w:rsidRPr="00A93FEF">
        <w:rPr>
          <w:rFonts w:ascii="Times New Roman" w:hAnsi="Times New Roman" w:cs="Times New Roman"/>
          <w:sz w:val="24"/>
          <w:szCs w:val="24"/>
        </w:rPr>
        <w:t xml:space="preserve"> and </w:t>
      </w:r>
      <w:r w:rsidR="00E80264">
        <w:rPr>
          <w:rFonts w:ascii="Times New Roman" w:hAnsi="Times New Roman" w:cs="Times New Roman"/>
          <w:sz w:val="24"/>
          <w:szCs w:val="24"/>
        </w:rPr>
        <w:t>r</w:t>
      </w:r>
      <w:r w:rsidRPr="00A93FEF">
        <w:rPr>
          <w:rFonts w:ascii="Times New Roman" w:hAnsi="Times New Roman" w:cs="Times New Roman"/>
          <w:sz w:val="24"/>
          <w:szCs w:val="24"/>
        </w:rPr>
        <w:t xml:space="preserve">egs 29 and 30 of the 2014 Regulations. </w:t>
      </w:r>
    </w:p>
    <w:p w14:paraId="2AB65460" w14:textId="6D7A09A8" w:rsidR="00E66AE6" w:rsidRPr="002D3CAF" w:rsidRDefault="009848F5" w:rsidP="00A574EC">
      <w:pPr>
        <w:pStyle w:val="Indent1"/>
        <w:spacing w:line="240" w:lineRule="auto"/>
        <w:ind w:left="0" w:firstLine="0"/>
        <w:rPr>
          <w:rFonts w:ascii="Times New Roman" w:hAnsi="Times New Roman" w:cs="Times New Roman"/>
          <w:i/>
          <w:iCs/>
          <w:sz w:val="24"/>
          <w:szCs w:val="24"/>
          <w:u w:val="single"/>
        </w:rPr>
      </w:pPr>
      <w:r w:rsidRPr="002D3CAF">
        <w:rPr>
          <w:rFonts w:ascii="Times New Roman" w:hAnsi="Times New Roman" w:cs="Times New Roman"/>
          <w:i/>
          <w:iCs/>
          <w:sz w:val="24"/>
          <w:szCs w:val="24"/>
          <w:u w:val="single"/>
        </w:rPr>
        <w:t>Discussion</w:t>
      </w:r>
    </w:p>
    <w:p w14:paraId="495B196D" w14:textId="065A3053" w:rsidR="00E66AE6" w:rsidRPr="00E90D05" w:rsidRDefault="009848F5" w:rsidP="00A574EC">
      <w:pPr>
        <w:pStyle w:val="Indent1"/>
        <w:spacing w:line="240" w:lineRule="auto"/>
        <w:ind w:left="0" w:firstLine="0"/>
        <w:rPr>
          <w:rFonts w:ascii="Times New Roman" w:hAnsi="Times New Roman" w:cs="Times New Roman"/>
          <w:i/>
          <w:iCs/>
          <w:sz w:val="24"/>
          <w:szCs w:val="24"/>
        </w:rPr>
      </w:pPr>
      <w:r>
        <w:rPr>
          <w:rFonts w:ascii="Times New Roman" w:hAnsi="Times New Roman" w:cs="Times New Roman"/>
          <w:i/>
          <w:iCs/>
          <w:sz w:val="24"/>
          <w:szCs w:val="24"/>
        </w:rPr>
        <w:t>Ground 1 – the jurisdiction question</w:t>
      </w:r>
    </w:p>
    <w:p w14:paraId="6F8766C2" w14:textId="70B204D7" w:rsidR="00DD5F10" w:rsidRDefault="00B70B51" w:rsidP="00A574EC">
      <w:pPr>
        <w:pStyle w:val="Indent1"/>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Hampshire did not argue before us, as they appear to have done before the Upper Tribunal, that T’s parents had to bring proceedings for judicial review in the Administrative Court to quash the </w:t>
      </w:r>
      <w:r w:rsidR="00B34C03">
        <w:rPr>
          <w:rFonts w:ascii="Times New Roman" w:hAnsi="Times New Roman" w:cs="Times New Roman"/>
          <w:sz w:val="24"/>
          <w:szCs w:val="24"/>
        </w:rPr>
        <w:t>C</w:t>
      </w:r>
      <w:r>
        <w:rPr>
          <w:rFonts w:ascii="Times New Roman" w:hAnsi="Times New Roman" w:cs="Times New Roman"/>
          <w:sz w:val="24"/>
          <w:szCs w:val="24"/>
        </w:rPr>
        <w:t xml:space="preserve">ouncil’s decision to cease to maintain their son’s EHCP before appealing to the FTT. I agree with </w:t>
      </w:r>
      <w:r w:rsidR="001128CD">
        <w:rPr>
          <w:rFonts w:ascii="Times New Roman" w:hAnsi="Times New Roman" w:cs="Times New Roman"/>
          <w:sz w:val="24"/>
          <w:szCs w:val="24"/>
        </w:rPr>
        <w:t>the Judge</w:t>
      </w:r>
      <w:r>
        <w:rPr>
          <w:rFonts w:ascii="Times New Roman" w:hAnsi="Times New Roman" w:cs="Times New Roman"/>
          <w:sz w:val="24"/>
          <w:szCs w:val="24"/>
        </w:rPr>
        <w:t xml:space="preserve"> that no such requirement exists and Mr L</w:t>
      </w:r>
      <w:r w:rsidR="009128EE">
        <w:rPr>
          <w:rFonts w:ascii="Times New Roman" w:hAnsi="Times New Roman" w:cs="Times New Roman"/>
          <w:sz w:val="24"/>
          <w:szCs w:val="24"/>
        </w:rPr>
        <w:t>ine</w:t>
      </w:r>
      <w:r>
        <w:rPr>
          <w:rFonts w:ascii="Times New Roman" w:hAnsi="Times New Roman" w:cs="Times New Roman"/>
          <w:sz w:val="24"/>
          <w:szCs w:val="24"/>
        </w:rPr>
        <w:t xml:space="preserve"> was in my view correct not to </w:t>
      </w:r>
      <w:r w:rsidR="00913CD8">
        <w:rPr>
          <w:rFonts w:ascii="Times New Roman" w:hAnsi="Times New Roman" w:cs="Times New Roman"/>
          <w:sz w:val="24"/>
          <w:szCs w:val="24"/>
        </w:rPr>
        <w:t>pursue the point in oral argument</w:t>
      </w:r>
      <w:r>
        <w:rPr>
          <w:rFonts w:ascii="Times New Roman" w:hAnsi="Times New Roman" w:cs="Times New Roman"/>
          <w:sz w:val="24"/>
          <w:szCs w:val="24"/>
        </w:rPr>
        <w:t xml:space="preserve"> in this court. </w:t>
      </w:r>
      <w:r w:rsidR="00DD5F10">
        <w:rPr>
          <w:rFonts w:ascii="Times New Roman" w:hAnsi="Times New Roman" w:cs="Times New Roman"/>
          <w:sz w:val="24"/>
          <w:szCs w:val="24"/>
        </w:rPr>
        <w:t xml:space="preserve">A requirement that a challenge based on </w:t>
      </w:r>
      <w:r w:rsidR="00913CD8">
        <w:rPr>
          <w:rFonts w:ascii="Times New Roman" w:hAnsi="Times New Roman" w:cs="Times New Roman"/>
          <w:sz w:val="24"/>
          <w:szCs w:val="24"/>
        </w:rPr>
        <w:t>r</w:t>
      </w:r>
      <w:r w:rsidR="00DD5F10">
        <w:rPr>
          <w:rFonts w:ascii="Times New Roman" w:hAnsi="Times New Roman" w:cs="Times New Roman"/>
          <w:sz w:val="24"/>
          <w:szCs w:val="24"/>
        </w:rPr>
        <w:t>eg. 31 could only be brought and determined in the High Court would entail precisely the duplic</w:t>
      </w:r>
      <w:r w:rsidR="00E80264">
        <w:rPr>
          <w:rFonts w:ascii="Times New Roman" w:hAnsi="Times New Roman" w:cs="Times New Roman"/>
          <w:sz w:val="24"/>
          <w:szCs w:val="24"/>
        </w:rPr>
        <w:t>ation</w:t>
      </w:r>
      <w:r w:rsidR="00DD5F10">
        <w:rPr>
          <w:rFonts w:ascii="Times New Roman" w:hAnsi="Times New Roman" w:cs="Times New Roman"/>
          <w:sz w:val="24"/>
          <w:szCs w:val="24"/>
        </w:rPr>
        <w:t xml:space="preserve"> of proceedings which Lord Bridge deprecated in </w:t>
      </w:r>
      <w:r w:rsidR="00DD5F10">
        <w:rPr>
          <w:rFonts w:ascii="Times New Roman" w:hAnsi="Times New Roman" w:cs="Times New Roman"/>
          <w:i/>
          <w:iCs/>
          <w:sz w:val="24"/>
          <w:szCs w:val="24"/>
        </w:rPr>
        <w:t>Foster</w:t>
      </w:r>
      <w:r w:rsidR="00DD5F10">
        <w:rPr>
          <w:rFonts w:ascii="Times New Roman" w:hAnsi="Times New Roman" w:cs="Times New Roman"/>
          <w:sz w:val="24"/>
          <w:szCs w:val="24"/>
        </w:rPr>
        <w:t xml:space="preserve">. It would be impractical, disproportionate and time-consuming for a parent or young person to have to bring High Court proceedings in parallel to or </w:t>
      </w:r>
      <w:r w:rsidR="00B84AEB">
        <w:rPr>
          <w:rFonts w:ascii="Times New Roman" w:hAnsi="Times New Roman" w:cs="Times New Roman"/>
          <w:sz w:val="24"/>
          <w:szCs w:val="24"/>
        </w:rPr>
        <w:t xml:space="preserve">even </w:t>
      </w:r>
      <w:r w:rsidR="00DD5F10">
        <w:rPr>
          <w:rFonts w:ascii="Times New Roman" w:hAnsi="Times New Roman" w:cs="Times New Roman"/>
          <w:sz w:val="24"/>
          <w:szCs w:val="24"/>
        </w:rPr>
        <w:t xml:space="preserve">before embarking on an appeal to the FTT. Parliament established the FTT in order to give appellants ready access to a specialist tribunal in a field where, in the words of Collins-Rice J in </w:t>
      </w:r>
      <w:r w:rsidR="00DD5F10" w:rsidRPr="00C374D5">
        <w:rPr>
          <w:rFonts w:ascii="Times New Roman" w:hAnsi="Times New Roman" w:cs="Times New Roman"/>
          <w:i/>
          <w:iCs/>
          <w:sz w:val="24"/>
          <w:szCs w:val="24"/>
        </w:rPr>
        <w:t xml:space="preserve">R(Kumar) v Hillingdon LBC </w:t>
      </w:r>
      <w:r w:rsidR="00DD5F10">
        <w:rPr>
          <w:rFonts w:ascii="Times New Roman" w:hAnsi="Times New Roman" w:cs="Times New Roman"/>
          <w:sz w:val="24"/>
          <w:szCs w:val="24"/>
        </w:rPr>
        <w:t>[2021] PTSR 686 at [31]</w:t>
      </w:r>
      <w:r w:rsidR="00C374D5">
        <w:rPr>
          <w:rFonts w:ascii="Times New Roman" w:hAnsi="Times New Roman" w:cs="Times New Roman"/>
          <w:sz w:val="24"/>
          <w:szCs w:val="24"/>
        </w:rPr>
        <w:t>,</w:t>
      </w:r>
      <w:r w:rsidR="00DD5F10">
        <w:rPr>
          <w:rFonts w:ascii="Times New Roman" w:hAnsi="Times New Roman" w:cs="Times New Roman"/>
          <w:sz w:val="24"/>
          <w:szCs w:val="24"/>
        </w:rPr>
        <w:t xml:space="preserve"> “there is a fundamental and frightening inequality of power”.</w:t>
      </w:r>
      <w:r w:rsidR="00C374D5">
        <w:rPr>
          <w:rFonts w:ascii="Times New Roman" w:hAnsi="Times New Roman" w:cs="Times New Roman"/>
          <w:sz w:val="24"/>
          <w:szCs w:val="24"/>
        </w:rPr>
        <w:t>,</w:t>
      </w:r>
    </w:p>
    <w:p w14:paraId="106A5BD1" w14:textId="691A0BBC" w:rsidR="00B70B51" w:rsidRDefault="00512054" w:rsidP="00A574EC">
      <w:pPr>
        <w:pStyle w:val="Indent1"/>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T</w:t>
      </w:r>
      <w:r w:rsidR="00B70B51">
        <w:rPr>
          <w:rFonts w:ascii="Times New Roman" w:hAnsi="Times New Roman" w:cs="Times New Roman"/>
          <w:sz w:val="24"/>
          <w:szCs w:val="24"/>
        </w:rPr>
        <w:t xml:space="preserve">he gap between the parties on the jurisdiction question is not as wide as it at first appeared to be. </w:t>
      </w:r>
      <w:r w:rsidR="003204F5">
        <w:rPr>
          <w:rFonts w:ascii="Times New Roman" w:hAnsi="Times New Roman" w:cs="Times New Roman"/>
          <w:sz w:val="24"/>
          <w:szCs w:val="24"/>
        </w:rPr>
        <w:t>Mr Line</w:t>
      </w:r>
      <w:r w:rsidR="00B70B51">
        <w:rPr>
          <w:rFonts w:ascii="Times New Roman" w:hAnsi="Times New Roman" w:cs="Times New Roman"/>
          <w:sz w:val="24"/>
          <w:szCs w:val="24"/>
        </w:rPr>
        <w:t xml:space="preserve"> contends:</w:t>
      </w:r>
    </w:p>
    <w:p w14:paraId="3AC4B56E" w14:textId="6A3894F9" w:rsidR="00B70B51" w:rsidRDefault="00B70B51" w:rsidP="00A574EC">
      <w:pPr>
        <w:pStyle w:val="Quote"/>
      </w:pPr>
      <w:r>
        <w:t>“The decision to cease to maintain the EHCP stood notwithstanding the error of process and was subject only to the outcome of the s.51 statutory appeal.”</w:t>
      </w:r>
    </w:p>
    <w:p w14:paraId="41948605" w14:textId="35A2E2B7" w:rsidR="00B70B51" w:rsidRDefault="00B70B51" w:rsidP="00A574EC">
      <w:pPr>
        <w:pStyle w:val="Indent1"/>
        <w:spacing w:line="240" w:lineRule="auto"/>
        <w:ind w:firstLine="0"/>
        <w:rPr>
          <w:rFonts w:ascii="Times New Roman" w:hAnsi="Times New Roman" w:cs="Times New Roman"/>
          <w:sz w:val="24"/>
          <w:szCs w:val="24"/>
        </w:rPr>
      </w:pPr>
      <w:r>
        <w:rPr>
          <w:rFonts w:ascii="Times New Roman" w:hAnsi="Times New Roman" w:cs="Times New Roman"/>
          <w:sz w:val="24"/>
          <w:szCs w:val="24"/>
        </w:rPr>
        <w:t>That submission is correct as far as it goes</w:t>
      </w:r>
      <w:r w:rsidR="00512054">
        <w:rPr>
          <w:rFonts w:ascii="Times New Roman" w:hAnsi="Times New Roman" w:cs="Times New Roman"/>
          <w:sz w:val="24"/>
          <w:szCs w:val="24"/>
        </w:rPr>
        <w:t xml:space="preserve">, so long as </w:t>
      </w:r>
      <w:r w:rsidR="007255C2">
        <w:rPr>
          <w:rFonts w:ascii="Times New Roman" w:hAnsi="Times New Roman" w:cs="Times New Roman"/>
          <w:sz w:val="24"/>
          <w:szCs w:val="24"/>
        </w:rPr>
        <w:t>one bears in mind that the powers of the FTT on a statut</w:t>
      </w:r>
      <w:r w:rsidR="00B621F4">
        <w:rPr>
          <w:rFonts w:ascii="Times New Roman" w:hAnsi="Times New Roman" w:cs="Times New Roman"/>
          <w:sz w:val="24"/>
          <w:szCs w:val="24"/>
        </w:rPr>
        <w:t>o</w:t>
      </w:r>
      <w:r w:rsidR="007255C2">
        <w:rPr>
          <w:rFonts w:ascii="Times New Roman" w:hAnsi="Times New Roman" w:cs="Times New Roman"/>
          <w:sz w:val="24"/>
          <w:szCs w:val="24"/>
        </w:rPr>
        <w:t>ry appeal are very wide.</w:t>
      </w:r>
    </w:p>
    <w:p w14:paraId="781F01FB" w14:textId="76A21C3E" w:rsidR="00B70B51" w:rsidRDefault="00B70B51" w:rsidP="00A574EC">
      <w:pPr>
        <w:pStyle w:val="Indent1"/>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For his part, Mr Gillie does not contend that the serious procedural </w:t>
      </w:r>
      <w:r w:rsidR="003A723B" w:rsidRPr="003A723B">
        <w:rPr>
          <w:rFonts w:ascii="Times New Roman" w:hAnsi="Times New Roman" w:cs="Times New Roman"/>
          <w:sz w:val="24"/>
          <w:szCs w:val="24"/>
        </w:rPr>
        <w:t xml:space="preserve">deficiencies </w:t>
      </w:r>
      <w:r>
        <w:rPr>
          <w:rFonts w:ascii="Times New Roman" w:hAnsi="Times New Roman" w:cs="Times New Roman"/>
          <w:sz w:val="24"/>
          <w:szCs w:val="24"/>
        </w:rPr>
        <w:t xml:space="preserve">criticised by the tribunals below resulted in automatic invalidity of the decision. The </w:t>
      </w:r>
      <w:r w:rsidR="00B621F4">
        <w:rPr>
          <w:rFonts w:ascii="Times New Roman" w:hAnsi="Times New Roman" w:cs="Times New Roman"/>
          <w:sz w:val="24"/>
          <w:szCs w:val="24"/>
        </w:rPr>
        <w:t>R</w:t>
      </w:r>
      <w:r>
        <w:rPr>
          <w:rFonts w:ascii="Times New Roman" w:hAnsi="Times New Roman" w:cs="Times New Roman"/>
          <w:sz w:val="24"/>
          <w:szCs w:val="24"/>
        </w:rPr>
        <w:t>espondent</w:t>
      </w:r>
      <w:r w:rsidR="00B621F4">
        <w:rPr>
          <w:rFonts w:ascii="Times New Roman" w:hAnsi="Times New Roman" w:cs="Times New Roman"/>
          <w:sz w:val="24"/>
          <w:szCs w:val="24"/>
        </w:rPr>
        <w:t>s’</w:t>
      </w:r>
      <w:r>
        <w:rPr>
          <w:rFonts w:ascii="Times New Roman" w:hAnsi="Times New Roman" w:cs="Times New Roman"/>
          <w:sz w:val="24"/>
          <w:szCs w:val="24"/>
        </w:rPr>
        <w:t xml:space="preserve"> skeleton argument states:-</w:t>
      </w:r>
    </w:p>
    <w:p w14:paraId="0BB86C2C" w14:textId="774912A5" w:rsidR="00B70B51" w:rsidRDefault="00160996" w:rsidP="00A574EC">
      <w:pPr>
        <w:pStyle w:val="Quote"/>
      </w:pPr>
      <w:r>
        <w:t>“</w:t>
      </w:r>
      <w:r w:rsidR="00B70B51">
        <w:t>The correct delineation is between a breach</w:t>
      </w:r>
      <w:r>
        <w:t xml:space="preserve"> </w:t>
      </w:r>
      <w:r w:rsidR="00B70B51">
        <w:t xml:space="preserve">of a regulation governing a decision </w:t>
      </w:r>
      <w:r w:rsidR="0018348B">
        <w:t>[listed]</w:t>
      </w:r>
      <w:r w:rsidR="00B70B51">
        <w:t xml:space="preserve"> in s.51(2)</w:t>
      </w:r>
      <w:r w:rsidR="0018348B">
        <w:t xml:space="preserve"> </w:t>
      </w:r>
      <w:r w:rsidR="00B70B51">
        <w:t>CFA 2014, over which the tribunal’s jurisdiction extends</w:t>
      </w:r>
      <w:r w:rsidR="00B7532B">
        <w:t>;</w:t>
      </w:r>
      <w:r w:rsidR="00B70B51">
        <w:t xml:space="preserve"> and a free-standing breach that is not directly relevant to a matter s.51(2)</w:t>
      </w:r>
      <w:r w:rsidR="00DE5938">
        <w:t>,</w:t>
      </w:r>
      <w:r w:rsidR="00B70B51">
        <w:t xml:space="preserve"> over which i</w:t>
      </w:r>
      <w:r w:rsidR="00DE5938">
        <w:t xml:space="preserve">t </w:t>
      </w:r>
      <w:r w:rsidR="00B70B51">
        <w:t>does not. Thus, the section does not preclude a Tribunal form determining that a local authority’s decision is inv</w:t>
      </w:r>
      <w:r>
        <w:t>a</w:t>
      </w:r>
      <w:r w:rsidR="00B70B51">
        <w:t xml:space="preserve">lid because the authority has breached mandatory regulations governing the </w:t>
      </w:r>
      <w:r w:rsidR="00DE5938">
        <w:t xml:space="preserve">   </w:t>
      </w:r>
      <w:r w:rsidR="00B70B51">
        <w:t>decision to cease to maintain. This does not mean that such a breach</w:t>
      </w:r>
      <w:r>
        <w:t xml:space="preserve"> will inevitably lead to the setting aside of a decision. That is a matter for the tribunal under Reg. 43of the 2014 Regulations on the facts of </w:t>
      </w:r>
      <w:r w:rsidR="009F6E3E">
        <w:t>each</w:t>
      </w:r>
      <w:r>
        <w:t xml:space="preserve"> case.”</w:t>
      </w:r>
    </w:p>
    <w:p w14:paraId="5E552FCA" w14:textId="54745622" w:rsidR="00B70B51" w:rsidRDefault="00160996" w:rsidP="00A574EC">
      <w:pPr>
        <w:pStyle w:val="Indent1"/>
        <w:spacing w:line="240" w:lineRule="auto"/>
        <w:ind w:firstLine="0"/>
        <w:rPr>
          <w:rFonts w:ascii="Times New Roman" w:hAnsi="Times New Roman" w:cs="Times New Roman"/>
          <w:sz w:val="24"/>
          <w:szCs w:val="24"/>
        </w:rPr>
      </w:pPr>
      <w:r>
        <w:rPr>
          <w:rFonts w:ascii="Times New Roman" w:hAnsi="Times New Roman" w:cs="Times New Roman"/>
          <w:sz w:val="24"/>
          <w:szCs w:val="24"/>
        </w:rPr>
        <w:t>This is in my view an entirely accurate statement of the FTT’s jurisdiction</w:t>
      </w:r>
      <w:r w:rsidR="00A71519">
        <w:rPr>
          <w:rFonts w:ascii="Times New Roman" w:hAnsi="Times New Roman" w:cs="Times New Roman"/>
          <w:sz w:val="24"/>
          <w:szCs w:val="24"/>
        </w:rPr>
        <w:t xml:space="preserve"> in a case of this kind</w:t>
      </w:r>
      <w:r>
        <w:rPr>
          <w:rFonts w:ascii="Times New Roman" w:hAnsi="Times New Roman" w:cs="Times New Roman"/>
          <w:sz w:val="24"/>
          <w:szCs w:val="24"/>
        </w:rPr>
        <w:t>.</w:t>
      </w:r>
      <w:r w:rsidR="00BB1270">
        <w:rPr>
          <w:rFonts w:ascii="Times New Roman" w:hAnsi="Times New Roman" w:cs="Times New Roman"/>
          <w:sz w:val="24"/>
          <w:szCs w:val="24"/>
        </w:rPr>
        <w:t xml:space="preserve"> </w:t>
      </w:r>
      <w:r w:rsidR="00CA5344">
        <w:rPr>
          <w:rFonts w:ascii="Times New Roman" w:hAnsi="Times New Roman" w:cs="Times New Roman"/>
          <w:sz w:val="24"/>
          <w:szCs w:val="24"/>
        </w:rPr>
        <w:t>(</w:t>
      </w:r>
      <w:r w:rsidR="00BB1270">
        <w:rPr>
          <w:rFonts w:ascii="Times New Roman" w:hAnsi="Times New Roman" w:cs="Times New Roman"/>
          <w:sz w:val="24"/>
          <w:szCs w:val="24"/>
        </w:rPr>
        <w:t xml:space="preserve">It </w:t>
      </w:r>
      <w:r w:rsidR="00246931">
        <w:rPr>
          <w:rFonts w:ascii="Times New Roman" w:hAnsi="Times New Roman" w:cs="Times New Roman"/>
          <w:sz w:val="24"/>
          <w:szCs w:val="24"/>
        </w:rPr>
        <w:t xml:space="preserve">makes it unnecessary </w:t>
      </w:r>
      <w:r w:rsidR="00CA5344">
        <w:rPr>
          <w:rFonts w:ascii="Times New Roman" w:hAnsi="Times New Roman" w:cs="Times New Roman"/>
          <w:sz w:val="24"/>
          <w:szCs w:val="24"/>
        </w:rPr>
        <w:t xml:space="preserve">in this case </w:t>
      </w:r>
      <w:r w:rsidR="00246931">
        <w:rPr>
          <w:rFonts w:ascii="Times New Roman" w:hAnsi="Times New Roman" w:cs="Times New Roman"/>
          <w:sz w:val="24"/>
          <w:szCs w:val="24"/>
        </w:rPr>
        <w:t xml:space="preserve">to consider the numerous authorities </w:t>
      </w:r>
      <w:r w:rsidR="0077649E">
        <w:rPr>
          <w:rFonts w:ascii="Times New Roman" w:hAnsi="Times New Roman" w:cs="Times New Roman"/>
          <w:sz w:val="24"/>
          <w:szCs w:val="24"/>
        </w:rPr>
        <w:t>on automatic invalidity.</w:t>
      </w:r>
      <w:r w:rsidR="00CA5344">
        <w:rPr>
          <w:rFonts w:ascii="Times New Roman" w:hAnsi="Times New Roman" w:cs="Times New Roman"/>
          <w:sz w:val="24"/>
          <w:szCs w:val="24"/>
        </w:rPr>
        <w:t>)</w:t>
      </w:r>
    </w:p>
    <w:p w14:paraId="2DD957F5" w14:textId="79CC91E1" w:rsidR="00160996" w:rsidRDefault="00160996" w:rsidP="00A574EC">
      <w:pPr>
        <w:pStyle w:val="Indent1"/>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I would accordingly amend </w:t>
      </w:r>
      <w:r w:rsidR="009F6E3E">
        <w:rPr>
          <w:rFonts w:ascii="Times New Roman" w:hAnsi="Times New Roman" w:cs="Times New Roman"/>
          <w:sz w:val="24"/>
          <w:szCs w:val="24"/>
        </w:rPr>
        <w:t>the Judge’s</w:t>
      </w:r>
      <w:r>
        <w:rPr>
          <w:rFonts w:ascii="Times New Roman" w:hAnsi="Times New Roman" w:cs="Times New Roman"/>
          <w:sz w:val="24"/>
          <w:szCs w:val="24"/>
        </w:rPr>
        <w:t xml:space="preserve"> statement of the law in paragraph 162 of his judgment to read as follows</w:t>
      </w:r>
      <w:r w:rsidR="007D7987">
        <w:rPr>
          <w:rFonts w:ascii="Times New Roman" w:hAnsi="Times New Roman" w:cs="Times New Roman"/>
          <w:sz w:val="24"/>
          <w:szCs w:val="24"/>
        </w:rPr>
        <w:t>:</w:t>
      </w:r>
    </w:p>
    <w:p w14:paraId="0A7ACEF0" w14:textId="6C548D3F" w:rsidR="00160996" w:rsidRDefault="00160996" w:rsidP="00A574EC">
      <w:pPr>
        <w:pStyle w:val="Quote"/>
      </w:pPr>
      <w:r>
        <w:t xml:space="preserve">“A decision to cease </w:t>
      </w:r>
      <w:r w:rsidR="00CA5344">
        <w:t>to maintain</w:t>
      </w:r>
      <w:r>
        <w:t xml:space="preserve"> an EHCP under s.45(1) of the 2014 Act will be </w:t>
      </w:r>
      <w:r>
        <w:rPr>
          <w:i/>
          <w:iCs/>
        </w:rPr>
        <w:t>liable to be held invalid and set aside by the FTT</w:t>
      </w:r>
      <w:r>
        <w:t xml:space="preserve"> if it is taken in breach of the mandatory requirements of Reg. 31 of the 2014 Regulations.”</w:t>
      </w:r>
      <w:r w:rsidR="005A3DBC">
        <w:t xml:space="preserve"> [emphasis added]</w:t>
      </w:r>
    </w:p>
    <w:p w14:paraId="2B123FFB" w14:textId="6E658D0A" w:rsidR="00160996" w:rsidRDefault="008E1848" w:rsidP="00A574EC">
      <w:pPr>
        <w:pStyle w:val="Indent1"/>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Consultation with the child or young person, the child’s parents and the child’s school is of fundamental importan</w:t>
      </w:r>
      <w:r w:rsidR="007D7987">
        <w:rPr>
          <w:rFonts w:ascii="Times New Roman" w:hAnsi="Times New Roman" w:cs="Times New Roman"/>
          <w:sz w:val="24"/>
          <w:szCs w:val="24"/>
        </w:rPr>
        <w:t>ce</w:t>
      </w:r>
      <w:r>
        <w:rPr>
          <w:rFonts w:ascii="Times New Roman" w:hAnsi="Times New Roman" w:cs="Times New Roman"/>
          <w:sz w:val="24"/>
          <w:szCs w:val="24"/>
        </w:rPr>
        <w:t xml:space="preserve"> to the fair and proper operation of the system.</w:t>
      </w:r>
      <w:r w:rsidR="00BF11CA">
        <w:rPr>
          <w:rFonts w:ascii="Times New Roman" w:hAnsi="Times New Roman" w:cs="Times New Roman"/>
          <w:sz w:val="24"/>
          <w:szCs w:val="24"/>
        </w:rPr>
        <w:t xml:space="preserve"> </w:t>
      </w:r>
      <w:r>
        <w:rPr>
          <w:rFonts w:ascii="Times New Roman" w:hAnsi="Times New Roman" w:cs="Times New Roman"/>
          <w:sz w:val="24"/>
          <w:szCs w:val="24"/>
        </w:rPr>
        <w:t xml:space="preserve">Nevertheless, </w:t>
      </w:r>
      <w:r w:rsidR="00BF11CA">
        <w:rPr>
          <w:rFonts w:ascii="Times New Roman" w:hAnsi="Times New Roman" w:cs="Times New Roman"/>
          <w:sz w:val="24"/>
          <w:szCs w:val="24"/>
        </w:rPr>
        <w:t>as</w:t>
      </w:r>
      <w:r w:rsidR="00F0158E">
        <w:rPr>
          <w:rFonts w:ascii="Times New Roman" w:hAnsi="Times New Roman" w:cs="Times New Roman"/>
          <w:sz w:val="24"/>
          <w:szCs w:val="24"/>
        </w:rPr>
        <w:t xml:space="preserve"> the Judge</w:t>
      </w:r>
      <w:r w:rsidR="00160996">
        <w:rPr>
          <w:rFonts w:ascii="Times New Roman" w:hAnsi="Times New Roman" w:cs="Times New Roman"/>
          <w:sz w:val="24"/>
          <w:szCs w:val="24"/>
        </w:rPr>
        <w:t xml:space="preserve"> pointed out, there may be cases where there has been significant consultation and the breach of </w:t>
      </w:r>
      <w:r w:rsidR="00AF4E4A">
        <w:rPr>
          <w:rFonts w:ascii="Times New Roman" w:hAnsi="Times New Roman" w:cs="Times New Roman"/>
          <w:sz w:val="24"/>
          <w:szCs w:val="24"/>
        </w:rPr>
        <w:t>r</w:t>
      </w:r>
      <w:r w:rsidR="00160996">
        <w:rPr>
          <w:rFonts w:ascii="Times New Roman" w:hAnsi="Times New Roman" w:cs="Times New Roman"/>
          <w:sz w:val="24"/>
          <w:szCs w:val="24"/>
        </w:rPr>
        <w:t xml:space="preserve">eg. 31 is not material. Plainly this case, </w:t>
      </w:r>
      <w:r w:rsidR="00BF11CA">
        <w:rPr>
          <w:rFonts w:ascii="Times New Roman" w:hAnsi="Times New Roman" w:cs="Times New Roman"/>
          <w:sz w:val="24"/>
          <w:szCs w:val="24"/>
        </w:rPr>
        <w:t xml:space="preserve">where there was </w:t>
      </w:r>
      <w:r w:rsidR="00160996">
        <w:rPr>
          <w:rFonts w:ascii="Times New Roman" w:hAnsi="Times New Roman" w:cs="Times New Roman"/>
          <w:sz w:val="24"/>
          <w:szCs w:val="24"/>
        </w:rPr>
        <w:t xml:space="preserve">a total lack of consultation, is not one of them. The breaches were, as </w:t>
      </w:r>
      <w:r w:rsidR="007D7987">
        <w:rPr>
          <w:rFonts w:ascii="Times New Roman" w:hAnsi="Times New Roman" w:cs="Times New Roman"/>
          <w:sz w:val="24"/>
          <w:szCs w:val="24"/>
        </w:rPr>
        <w:t>the Judge</w:t>
      </w:r>
      <w:r w:rsidR="00160996">
        <w:rPr>
          <w:rFonts w:ascii="Times New Roman" w:hAnsi="Times New Roman" w:cs="Times New Roman"/>
          <w:sz w:val="24"/>
          <w:szCs w:val="24"/>
        </w:rPr>
        <w:t xml:space="preserve"> held, “wholesale and egregious”. The procedural error cannot be separated from the decision to cease to </w:t>
      </w:r>
      <w:r w:rsidR="00906065">
        <w:rPr>
          <w:rFonts w:ascii="Times New Roman" w:hAnsi="Times New Roman" w:cs="Times New Roman"/>
          <w:sz w:val="24"/>
          <w:szCs w:val="24"/>
        </w:rPr>
        <w:t>maintain</w:t>
      </w:r>
      <w:r w:rsidR="00160996">
        <w:rPr>
          <w:rFonts w:ascii="Times New Roman" w:hAnsi="Times New Roman" w:cs="Times New Roman"/>
          <w:sz w:val="24"/>
          <w:szCs w:val="24"/>
        </w:rPr>
        <w:t xml:space="preserve"> the EHCP. Each was integral to or intertwined with the other. </w:t>
      </w:r>
    </w:p>
    <w:p w14:paraId="4AB35A43" w14:textId="6FCC5F50" w:rsidR="00160996" w:rsidRDefault="00160996" w:rsidP="00A574EC">
      <w:pPr>
        <w:pStyle w:val="Indent1"/>
        <w:numPr>
          <w:ilvl w:val="0"/>
          <w:numId w:val="11"/>
        </w:numPr>
        <w:spacing w:line="240" w:lineRule="auto"/>
        <w:rPr>
          <w:rFonts w:ascii="Times New Roman" w:hAnsi="Times New Roman" w:cs="Times New Roman"/>
          <w:sz w:val="24"/>
          <w:szCs w:val="24"/>
        </w:rPr>
      </w:pPr>
      <w:r w:rsidRPr="007E2AFB">
        <w:rPr>
          <w:rFonts w:ascii="Times New Roman" w:hAnsi="Times New Roman" w:cs="Times New Roman"/>
          <w:sz w:val="24"/>
          <w:szCs w:val="24"/>
        </w:rPr>
        <w:t>The answer to the jurisdiction question is therefore “yes”.</w:t>
      </w:r>
      <w:r w:rsidR="007E2AFB" w:rsidRPr="007E2AFB">
        <w:rPr>
          <w:rFonts w:ascii="Times New Roman" w:hAnsi="Times New Roman" w:cs="Times New Roman"/>
          <w:sz w:val="24"/>
          <w:szCs w:val="24"/>
        </w:rPr>
        <w:t xml:space="preserve"> </w:t>
      </w:r>
      <w:r w:rsidRPr="007E2AFB">
        <w:rPr>
          <w:rFonts w:ascii="Times New Roman" w:hAnsi="Times New Roman" w:cs="Times New Roman"/>
          <w:sz w:val="24"/>
          <w:szCs w:val="24"/>
        </w:rPr>
        <w:t>But in the present case this is only the prelude to the critical issue of whether, while T and his parents were temporarily in Dubai</w:t>
      </w:r>
      <w:r w:rsidR="003204F5">
        <w:rPr>
          <w:rFonts w:ascii="Times New Roman" w:hAnsi="Times New Roman" w:cs="Times New Roman"/>
          <w:sz w:val="24"/>
          <w:szCs w:val="24"/>
        </w:rPr>
        <w:t>,</w:t>
      </w:r>
      <w:r w:rsidRPr="007E2AFB">
        <w:rPr>
          <w:rFonts w:ascii="Times New Roman" w:hAnsi="Times New Roman" w:cs="Times New Roman"/>
          <w:sz w:val="24"/>
          <w:szCs w:val="24"/>
        </w:rPr>
        <w:t xml:space="preserve"> he was nevertheless </w:t>
      </w:r>
      <w:r w:rsidR="00301C6A">
        <w:rPr>
          <w:rFonts w:ascii="Times New Roman" w:hAnsi="Times New Roman" w:cs="Times New Roman"/>
          <w:sz w:val="24"/>
          <w:szCs w:val="24"/>
        </w:rPr>
        <w:t>“</w:t>
      </w:r>
      <w:r w:rsidRPr="007E2AFB">
        <w:rPr>
          <w:rFonts w:ascii="Times New Roman" w:hAnsi="Times New Roman" w:cs="Times New Roman"/>
          <w:sz w:val="24"/>
          <w:szCs w:val="24"/>
        </w:rPr>
        <w:t>in the area</w:t>
      </w:r>
      <w:r w:rsidR="00301C6A">
        <w:rPr>
          <w:rFonts w:ascii="Times New Roman" w:hAnsi="Times New Roman" w:cs="Times New Roman"/>
          <w:sz w:val="24"/>
          <w:szCs w:val="24"/>
        </w:rPr>
        <w:t>”</w:t>
      </w:r>
      <w:r w:rsidRPr="007E2AFB">
        <w:rPr>
          <w:rFonts w:ascii="Times New Roman" w:hAnsi="Times New Roman" w:cs="Times New Roman"/>
          <w:sz w:val="24"/>
          <w:szCs w:val="24"/>
        </w:rPr>
        <w:t xml:space="preserve"> of the local authority. If he was, then (subject to ground 3)</w:t>
      </w:r>
      <w:r w:rsidR="006D7CBB">
        <w:rPr>
          <w:rFonts w:ascii="Times New Roman" w:hAnsi="Times New Roman" w:cs="Times New Roman"/>
          <w:sz w:val="24"/>
          <w:szCs w:val="24"/>
        </w:rPr>
        <w:t xml:space="preserve"> </w:t>
      </w:r>
      <w:r w:rsidRPr="007E2AFB">
        <w:rPr>
          <w:rFonts w:ascii="Times New Roman" w:hAnsi="Times New Roman" w:cs="Times New Roman"/>
          <w:sz w:val="24"/>
          <w:szCs w:val="24"/>
        </w:rPr>
        <w:t>the local authority were in breach of their duty to him</w:t>
      </w:r>
      <w:r w:rsidR="00E8639C">
        <w:rPr>
          <w:rFonts w:ascii="Times New Roman" w:hAnsi="Times New Roman" w:cs="Times New Roman"/>
          <w:sz w:val="24"/>
          <w:szCs w:val="24"/>
        </w:rPr>
        <w:t xml:space="preserve">. </w:t>
      </w:r>
      <w:r w:rsidRPr="007E2AFB">
        <w:rPr>
          <w:rFonts w:ascii="Times New Roman" w:hAnsi="Times New Roman" w:cs="Times New Roman"/>
          <w:sz w:val="24"/>
          <w:szCs w:val="24"/>
        </w:rPr>
        <w:t xml:space="preserve"> If, however, </w:t>
      </w:r>
      <w:r w:rsidR="00D84322">
        <w:rPr>
          <w:rFonts w:ascii="Times New Roman" w:hAnsi="Times New Roman" w:cs="Times New Roman"/>
          <w:sz w:val="24"/>
          <w:szCs w:val="24"/>
        </w:rPr>
        <w:t>on a proper interpretation of s</w:t>
      </w:r>
      <w:r w:rsidR="00906065">
        <w:rPr>
          <w:rFonts w:ascii="Times New Roman" w:hAnsi="Times New Roman" w:cs="Times New Roman"/>
          <w:sz w:val="24"/>
          <w:szCs w:val="24"/>
        </w:rPr>
        <w:t>.</w:t>
      </w:r>
      <w:r w:rsidR="00D84322">
        <w:rPr>
          <w:rFonts w:ascii="Times New Roman" w:hAnsi="Times New Roman" w:cs="Times New Roman"/>
          <w:sz w:val="24"/>
          <w:szCs w:val="24"/>
        </w:rPr>
        <w:t xml:space="preserve">24 </w:t>
      </w:r>
      <w:r w:rsidRPr="007E2AFB">
        <w:rPr>
          <w:rFonts w:ascii="Times New Roman" w:hAnsi="Times New Roman" w:cs="Times New Roman"/>
          <w:sz w:val="24"/>
          <w:szCs w:val="24"/>
        </w:rPr>
        <w:t xml:space="preserve">he was not “in the area” of the </w:t>
      </w:r>
      <w:r w:rsidR="00D84322">
        <w:rPr>
          <w:rFonts w:ascii="Times New Roman" w:hAnsi="Times New Roman" w:cs="Times New Roman"/>
          <w:sz w:val="24"/>
          <w:szCs w:val="24"/>
        </w:rPr>
        <w:t>C</w:t>
      </w:r>
      <w:r w:rsidRPr="007E2AFB">
        <w:rPr>
          <w:rFonts w:ascii="Times New Roman" w:hAnsi="Times New Roman" w:cs="Times New Roman"/>
          <w:sz w:val="24"/>
          <w:szCs w:val="24"/>
        </w:rPr>
        <w:t>ouncil</w:t>
      </w:r>
      <w:r w:rsidR="00B20A72">
        <w:rPr>
          <w:rFonts w:ascii="Times New Roman" w:hAnsi="Times New Roman" w:cs="Times New Roman"/>
          <w:sz w:val="24"/>
          <w:szCs w:val="24"/>
        </w:rPr>
        <w:t>,</w:t>
      </w:r>
      <w:r w:rsidRPr="007E2AFB">
        <w:rPr>
          <w:rFonts w:ascii="Times New Roman" w:hAnsi="Times New Roman" w:cs="Times New Roman"/>
          <w:sz w:val="24"/>
          <w:szCs w:val="24"/>
        </w:rPr>
        <w:t xml:space="preserve"> then the procedural issues are academic.</w:t>
      </w:r>
    </w:p>
    <w:p w14:paraId="0A15B8D4" w14:textId="4E6AB6B4" w:rsidR="00F31D68" w:rsidRPr="00F31D68" w:rsidRDefault="00F31D68" w:rsidP="00A574EC">
      <w:pPr>
        <w:pStyle w:val="Indent1"/>
        <w:spacing w:line="240" w:lineRule="auto"/>
        <w:ind w:left="0" w:firstLine="0"/>
        <w:rPr>
          <w:rFonts w:ascii="Times New Roman" w:hAnsi="Times New Roman" w:cs="Times New Roman"/>
          <w:i/>
          <w:iCs/>
          <w:sz w:val="24"/>
          <w:szCs w:val="24"/>
        </w:rPr>
      </w:pPr>
      <w:r>
        <w:rPr>
          <w:rFonts w:ascii="Times New Roman" w:hAnsi="Times New Roman" w:cs="Times New Roman"/>
          <w:i/>
          <w:iCs/>
          <w:sz w:val="24"/>
          <w:szCs w:val="24"/>
        </w:rPr>
        <w:t>Ground 2 - the residence question</w:t>
      </w:r>
    </w:p>
    <w:p w14:paraId="46EB41E4" w14:textId="244E6713" w:rsidR="00E66AE6" w:rsidRDefault="00E66AE6" w:rsidP="00A574EC">
      <w:pPr>
        <w:pStyle w:val="Indent1"/>
        <w:numPr>
          <w:ilvl w:val="0"/>
          <w:numId w:val="11"/>
        </w:numPr>
        <w:spacing w:line="240" w:lineRule="auto"/>
        <w:rPr>
          <w:rFonts w:ascii="Times New Roman" w:hAnsi="Times New Roman" w:cs="Times New Roman"/>
          <w:sz w:val="24"/>
          <w:szCs w:val="24"/>
        </w:rPr>
      </w:pPr>
      <w:r w:rsidRPr="00A93FEF">
        <w:rPr>
          <w:rFonts w:ascii="Times New Roman" w:hAnsi="Times New Roman" w:cs="Times New Roman"/>
          <w:sz w:val="24"/>
          <w:szCs w:val="24"/>
        </w:rPr>
        <w:t>S</w:t>
      </w:r>
      <w:r w:rsidR="00B20A72">
        <w:rPr>
          <w:rFonts w:ascii="Times New Roman" w:hAnsi="Times New Roman" w:cs="Times New Roman"/>
          <w:sz w:val="24"/>
          <w:szCs w:val="24"/>
        </w:rPr>
        <w:t xml:space="preserve">ection </w:t>
      </w:r>
      <w:r w:rsidRPr="00A93FEF">
        <w:rPr>
          <w:rFonts w:ascii="Times New Roman" w:hAnsi="Times New Roman" w:cs="Times New Roman"/>
          <w:sz w:val="24"/>
          <w:szCs w:val="24"/>
        </w:rPr>
        <w:t>51</w:t>
      </w:r>
      <w:r w:rsidR="00B20A72">
        <w:rPr>
          <w:rFonts w:ascii="Times New Roman" w:hAnsi="Times New Roman" w:cs="Times New Roman"/>
          <w:sz w:val="24"/>
          <w:szCs w:val="24"/>
        </w:rPr>
        <w:t xml:space="preserve"> </w:t>
      </w:r>
      <w:r w:rsidRPr="00A93FEF">
        <w:rPr>
          <w:rFonts w:ascii="Times New Roman" w:hAnsi="Times New Roman" w:cs="Times New Roman"/>
          <w:sz w:val="24"/>
          <w:szCs w:val="24"/>
        </w:rPr>
        <w:t xml:space="preserve">of the 2014 </w:t>
      </w:r>
      <w:r w:rsidR="00B20A72">
        <w:rPr>
          <w:rFonts w:ascii="Times New Roman" w:hAnsi="Times New Roman" w:cs="Times New Roman"/>
          <w:sz w:val="24"/>
          <w:szCs w:val="24"/>
        </w:rPr>
        <w:t xml:space="preserve">Act </w:t>
      </w:r>
      <w:r w:rsidRPr="00A93FEF">
        <w:rPr>
          <w:rFonts w:ascii="Times New Roman" w:hAnsi="Times New Roman" w:cs="Times New Roman"/>
          <w:sz w:val="24"/>
          <w:szCs w:val="24"/>
        </w:rPr>
        <w:t>provide</w:t>
      </w:r>
      <w:r w:rsidR="00D90913">
        <w:rPr>
          <w:rFonts w:ascii="Times New Roman" w:hAnsi="Times New Roman" w:cs="Times New Roman"/>
          <w:sz w:val="24"/>
          <w:szCs w:val="24"/>
        </w:rPr>
        <w:t>s, so far as material,</w:t>
      </w:r>
      <w:r w:rsidRPr="00A93FEF">
        <w:rPr>
          <w:rFonts w:ascii="Times New Roman" w:hAnsi="Times New Roman" w:cs="Times New Roman"/>
          <w:sz w:val="24"/>
          <w:szCs w:val="24"/>
        </w:rPr>
        <w:t xml:space="preserve"> that:</w:t>
      </w:r>
    </w:p>
    <w:p w14:paraId="40EF1D97" w14:textId="3EF0A708" w:rsidR="005145F5" w:rsidRPr="005145F5" w:rsidRDefault="00AC0AA3" w:rsidP="00A574EC">
      <w:pPr>
        <w:pStyle w:val="Quote"/>
        <w:rPr>
          <w:lang w:eastAsia="en-GB"/>
        </w:rPr>
      </w:pPr>
      <w:r>
        <w:rPr>
          <w:lang w:eastAsia="en-GB"/>
        </w:rPr>
        <w:t>“</w:t>
      </w:r>
      <w:r w:rsidR="005145F5" w:rsidRPr="005145F5">
        <w:rPr>
          <w:lang w:eastAsia="en-GB"/>
        </w:rPr>
        <w:t>(1) A local authority in England is responsible for a child or young person if he or she is in the authority's area and has been—</w:t>
      </w:r>
    </w:p>
    <w:p w14:paraId="5F063B19" w14:textId="53D9DAAC" w:rsidR="005145F5" w:rsidRPr="005145F5" w:rsidRDefault="005145F5" w:rsidP="00A574EC">
      <w:pPr>
        <w:pStyle w:val="Quote"/>
        <w:rPr>
          <w:lang w:eastAsia="en-GB"/>
        </w:rPr>
      </w:pPr>
      <w:r w:rsidRPr="005145F5">
        <w:rPr>
          <w:lang w:eastAsia="en-GB"/>
        </w:rPr>
        <w:t>(a)identified by the authority as someone who has or may have special educational needs, or</w:t>
      </w:r>
    </w:p>
    <w:p w14:paraId="2345E2DF" w14:textId="776D4F6C" w:rsidR="005145F5" w:rsidRPr="005145F5" w:rsidRDefault="005145F5" w:rsidP="00A574EC">
      <w:pPr>
        <w:pStyle w:val="Quote"/>
        <w:rPr>
          <w:lang w:eastAsia="en-GB"/>
        </w:rPr>
      </w:pPr>
      <w:r w:rsidRPr="005145F5">
        <w:rPr>
          <w:lang w:eastAsia="en-GB"/>
        </w:rPr>
        <w:t>(b)brought to the authority's attention by any person as someone who has or may have special educational needs.</w:t>
      </w:r>
    </w:p>
    <w:p w14:paraId="4520BC73" w14:textId="5D919534" w:rsidR="005145F5" w:rsidRPr="005145F5" w:rsidRDefault="005145F5" w:rsidP="00A574EC">
      <w:pPr>
        <w:pStyle w:val="Quote"/>
        <w:rPr>
          <w:lang w:eastAsia="en-GB"/>
        </w:rPr>
      </w:pPr>
      <w:r w:rsidRPr="005145F5">
        <w:rPr>
          <w:lang w:eastAsia="en-GB"/>
        </w:rPr>
        <w:t>(2)</w:t>
      </w:r>
      <w:r>
        <w:rPr>
          <w:lang w:eastAsia="en-GB"/>
        </w:rPr>
        <w:t xml:space="preserve"> </w:t>
      </w:r>
      <w:r w:rsidRPr="005145F5">
        <w:rPr>
          <w:lang w:eastAsia="en-GB"/>
        </w:rPr>
        <w:t>This section applies for the purposes of this Part.”</w:t>
      </w:r>
    </w:p>
    <w:p w14:paraId="6697A5FB" w14:textId="57C07DB6" w:rsidR="00136EE3" w:rsidRDefault="00DD5F10" w:rsidP="00A574EC">
      <w:pPr>
        <w:pStyle w:val="Indent1"/>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S</w:t>
      </w:r>
      <w:r w:rsidR="000037F0">
        <w:rPr>
          <w:rFonts w:ascii="Times New Roman" w:hAnsi="Times New Roman" w:cs="Times New Roman"/>
          <w:sz w:val="24"/>
          <w:szCs w:val="24"/>
        </w:rPr>
        <w:t xml:space="preserve">ection </w:t>
      </w:r>
      <w:r w:rsidR="00AC0AA3">
        <w:rPr>
          <w:rFonts w:ascii="Times New Roman" w:hAnsi="Times New Roman" w:cs="Times New Roman"/>
          <w:sz w:val="24"/>
          <w:szCs w:val="24"/>
        </w:rPr>
        <w:t>24</w:t>
      </w:r>
      <w:r>
        <w:rPr>
          <w:rFonts w:ascii="Times New Roman" w:hAnsi="Times New Roman" w:cs="Times New Roman"/>
          <w:sz w:val="24"/>
          <w:szCs w:val="24"/>
        </w:rPr>
        <w:t>(1) makes a local authority responsible for a child with special educational needs</w:t>
      </w:r>
      <w:r w:rsidR="00D90913">
        <w:rPr>
          <w:rFonts w:ascii="Times New Roman" w:hAnsi="Times New Roman" w:cs="Times New Roman"/>
          <w:sz w:val="24"/>
          <w:szCs w:val="24"/>
        </w:rPr>
        <w:t xml:space="preserve"> </w:t>
      </w:r>
      <w:r>
        <w:rPr>
          <w:rFonts w:ascii="Times New Roman" w:hAnsi="Times New Roman" w:cs="Times New Roman"/>
          <w:sz w:val="24"/>
          <w:szCs w:val="24"/>
        </w:rPr>
        <w:t xml:space="preserve">who is in the authority’s area. The </w:t>
      </w:r>
      <w:r w:rsidR="00D6265A">
        <w:rPr>
          <w:rFonts w:ascii="Times New Roman" w:hAnsi="Times New Roman" w:cs="Times New Roman"/>
          <w:sz w:val="24"/>
          <w:szCs w:val="24"/>
        </w:rPr>
        <w:t>Council</w:t>
      </w:r>
      <w:r w:rsidR="009E4CF4">
        <w:rPr>
          <w:rFonts w:ascii="Times New Roman" w:hAnsi="Times New Roman" w:cs="Times New Roman"/>
          <w:sz w:val="24"/>
          <w:szCs w:val="24"/>
        </w:rPr>
        <w:t xml:space="preserve"> </w:t>
      </w:r>
      <w:r w:rsidR="005B123E">
        <w:rPr>
          <w:rFonts w:ascii="Times New Roman" w:hAnsi="Times New Roman" w:cs="Times New Roman"/>
          <w:sz w:val="24"/>
          <w:szCs w:val="24"/>
        </w:rPr>
        <w:t xml:space="preserve">first </w:t>
      </w:r>
      <w:r w:rsidR="009E4CF4">
        <w:rPr>
          <w:rFonts w:ascii="Times New Roman" w:hAnsi="Times New Roman" w:cs="Times New Roman"/>
          <w:sz w:val="24"/>
          <w:szCs w:val="24"/>
        </w:rPr>
        <w:t>suggests th</w:t>
      </w:r>
      <w:r>
        <w:rPr>
          <w:rFonts w:ascii="Times New Roman" w:hAnsi="Times New Roman" w:cs="Times New Roman"/>
          <w:sz w:val="24"/>
          <w:szCs w:val="24"/>
        </w:rPr>
        <w:t xml:space="preserve">at </w:t>
      </w:r>
      <w:r w:rsidR="004E21E2">
        <w:rPr>
          <w:rFonts w:ascii="Times New Roman" w:hAnsi="Times New Roman" w:cs="Times New Roman"/>
          <w:sz w:val="24"/>
          <w:szCs w:val="24"/>
        </w:rPr>
        <w:t>whether T was in Hampshire’s area for s</w:t>
      </w:r>
      <w:r w:rsidR="00AC0AA3">
        <w:rPr>
          <w:rFonts w:ascii="Times New Roman" w:hAnsi="Times New Roman" w:cs="Times New Roman"/>
          <w:sz w:val="24"/>
          <w:szCs w:val="24"/>
        </w:rPr>
        <w:t>.</w:t>
      </w:r>
      <w:r w:rsidR="004E21E2">
        <w:rPr>
          <w:rFonts w:ascii="Times New Roman" w:hAnsi="Times New Roman" w:cs="Times New Roman"/>
          <w:sz w:val="24"/>
          <w:szCs w:val="24"/>
        </w:rPr>
        <w:t xml:space="preserve">24 purposes </w:t>
      </w:r>
      <w:r>
        <w:rPr>
          <w:rFonts w:ascii="Times New Roman" w:hAnsi="Times New Roman" w:cs="Times New Roman"/>
          <w:sz w:val="24"/>
          <w:szCs w:val="24"/>
        </w:rPr>
        <w:t xml:space="preserve">was a question of fact for </w:t>
      </w:r>
      <w:r w:rsidR="00246C08">
        <w:rPr>
          <w:rFonts w:ascii="Times New Roman" w:hAnsi="Times New Roman" w:cs="Times New Roman"/>
          <w:sz w:val="24"/>
          <w:szCs w:val="24"/>
        </w:rPr>
        <w:t xml:space="preserve">decision by </w:t>
      </w:r>
      <w:r>
        <w:rPr>
          <w:rFonts w:ascii="Times New Roman" w:hAnsi="Times New Roman" w:cs="Times New Roman"/>
          <w:sz w:val="24"/>
          <w:szCs w:val="24"/>
        </w:rPr>
        <w:t>the local authority, again only challengeable by judicial review.</w:t>
      </w:r>
      <w:r w:rsidR="003E75B4">
        <w:rPr>
          <w:rFonts w:ascii="Times New Roman" w:hAnsi="Times New Roman" w:cs="Times New Roman"/>
          <w:sz w:val="24"/>
          <w:szCs w:val="24"/>
        </w:rPr>
        <w:t xml:space="preserve"> </w:t>
      </w:r>
    </w:p>
    <w:p w14:paraId="26CD13B2" w14:textId="77777777" w:rsidR="00C828BB" w:rsidRDefault="00DD5F10" w:rsidP="00A574EC">
      <w:pPr>
        <w:pStyle w:val="Indent1"/>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In the present case, the determination of whether he was in the authority’s area is a question of mixed fact and law. The Appellant </w:t>
      </w:r>
      <w:r w:rsidR="005B123E">
        <w:rPr>
          <w:rFonts w:ascii="Times New Roman" w:hAnsi="Times New Roman" w:cs="Times New Roman"/>
          <w:sz w:val="24"/>
          <w:szCs w:val="24"/>
        </w:rPr>
        <w:t>C</w:t>
      </w:r>
      <w:r>
        <w:rPr>
          <w:rFonts w:ascii="Times New Roman" w:hAnsi="Times New Roman" w:cs="Times New Roman"/>
          <w:sz w:val="24"/>
          <w:szCs w:val="24"/>
        </w:rPr>
        <w:t xml:space="preserve">ouncil argues that on a proper interpretation of s.24(1) the essential criterion is physical presence in </w:t>
      </w:r>
      <w:r w:rsidR="00C828BB">
        <w:rPr>
          <w:rFonts w:ascii="Times New Roman" w:hAnsi="Times New Roman" w:cs="Times New Roman"/>
          <w:sz w:val="24"/>
          <w:szCs w:val="24"/>
        </w:rPr>
        <w:t>Hampshire</w:t>
      </w:r>
      <w:r>
        <w:rPr>
          <w:rFonts w:ascii="Times New Roman" w:hAnsi="Times New Roman" w:cs="Times New Roman"/>
          <w:sz w:val="24"/>
          <w:szCs w:val="24"/>
        </w:rPr>
        <w:t>. Physical presence on a given date is a simple concept, but as a test for legal responsibility of an authority under s.24(1) it does not withstand scrutiny</w:t>
      </w:r>
      <w:r w:rsidR="00C72603">
        <w:rPr>
          <w:rFonts w:ascii="Times New Roman" w:hAnsi="Times New Roman" w:cs="Times New Roman"/>
          <w:sz w:val="24"/>
          <w:szCs w:val="24"/>
        </w:rPr>
        <w:t xml:space="preserve">. </w:t>
      </w:r>
    </w:p>
    <w:p w14:paraId="08595B41" w14:textId="25A7A16B" w:rsidR="0084416F" w:rsidRDefault="00C72603" w:rsidP="00A574EC">
      <w:pPr>
        <w:pStyle w:val="Indent1"/>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Many obvious examples spring to mind. The family may take a short holiday or pay a visit to relatives, whether elsewhere in this jurisdiction or abroad. </w:t>
      </w:r>
      <w:r w:rsidR="005827A8">
        <w:rPr>
          <w:rFonts w:ascii="Times New Roman" w:hAnsi="Times New Roman" w:cs="Times New Roman"/>
          <w:sz w:val="24"/>
          <w:szCs w:val="24"/>
        </w:rPr>
        <w:t>The</w:t>
      </w:r>
      <w:r w:rsidR="006A7B06">
        <w:rPr>
          <w:rFonts w:ascii="Times New Roman" w:hAnsi="Times New Roman" w:cs="Times New Roman"/>
          <w:sz w:val="24"/>
          <w:szCs w:val="24"/>
        </w:rPr>
        <w:t xml:space="preserve"> father might be deployed </w:t>
      </w:r>
      <w:r w:rsidR="0073422D">
        <w:rPr>
          <w:rFonts w:ascii="Times New Roman" w:hAnsi="Times New Roman" w:cs="Times New Roman"/>
          <w:sz w:val="24"/>
          <w:szCs w:val="24"/>
        </w:rPr>
        <w:t xml:space="preserve">abroad for </w:t>
      </w:r>
      <w:r w:rsidR="00C653E8">
        <w:rPr>
          <w:rFonts w:ascii="Times New Roman" w:hAnsi="Times New Roman" w:cs="Times New Roman"/>
          <w:sz w:val="24"/>
          <w:szCs w:val="24"/>
        </w:rPr>
        <w:t xml:space="preserve">a fixed term of </w:t>
      </w:r>
      <w:r w:rsidR="0073422D">
        <w:rPr>
          <w:rFonts w:ascii="Times New Roman" w:hAnsi="Times New Roman" w:cs="Times New Roman"/>
          <w:sz w:val="24"/>
          <w:szCs w:val="24"/>
        </w:rPr>
        <w:t xml:space="preserve">three months </w:t>
      </w:r>
      <w:r w:rsidR="00AC0AA3">
        <w:rPr>
          <w:rFonts w:ascii="Times New Roman" w:hAnsi="Times New Roman" w:cs="Times New Roman"/>
          <w:sz w:val="24"/>
          <w:szCs w:val="24"/>
        </w:rPr>
        <w:t>-</w:t>
      </w:r>
      <w:r w:rsidR="00D96416">
        <w:rPr>
          <w:rFonts w:ascii="Times New Roman" w:hAnsi="Times New Roman" w:cs="Times New Roman"/>
          <w:sz w:val="24"/>
          <w:szCs w:val="24"/>
        </w:rPr>
        <w:t xml:space="preserve"> </w:t>
      </w:r>
      <w:r w:rsidR="0073422D">
        <w:rPr>
          <w:rFonts w:ascii="Times New Roman" w:hAnsi="Times New Roman" w:cs="Times New Roman"/>
          <w:sz w:val="24"/>
          <w:szCs w:val="24"/>
        </w:rPr>
        <w:t xml:space="preserve">in effect for one school term – and the mother and children </w:t>
      </w:r>
      <w:r w:rsidR="00C653E8">
        <w:rPr>
          <w:rFonts w:ascii="Times New Roman" w:hAnsi="Times New Roman" w:cs="Times New Roman"/>
          <w:sz w:val="24"/>
          <w:szCs w:val="24"/>
        </w:rPr>
        <w:t>m</w:t>
      </w:r>
      <w:r w:rsidR="00D529C0">
        <w:rPr>
          <w:rFonts w:ascii="Times New Roman" w:hAnsi="Times New Roman" w:cs="Times New Roman"/>
          <w:sz w:val="24"/>
          <w:szCs w:val="24"/>
        </w:rPr>
        <w:t xml:space="preserve">ight </w:t>
      </w:r>
      <w:r w:rsidR="0073422D">
        <w:rPr>
          <w:rFonts w:ascii="Times New Roman" w:hAnsi="Times New Roman" w:cs="Times New Roman"/>
          <w:sz w:val="24"/>
          <w:szCs w:val="24"/>
        </w:rPr>
        <w:t xml:space="preserve">accompany him. </w:t>
      </w:r>
      <w:r w:rsidR="00D96416">
        <w:rPr>
          <w:rFonts w:ascii="Times New Roman" w:hAnsi="Times New Roman" w:cs="Times New Roman"/>
          <w:sz w:val="24"/>
          <w:szCs w:val="24"/>
        </w:rPr>
        <w:t>Or t</w:t>
      </w:r>
      <w:r>
        <w:rPr>
          <w:rFonts w:ascii="Times New Roman" w:hAnsi="Times New Roman" w:cs="Times New Roman"/>
          <w:sz w:val="24"/>
          <w:szCs w:val="24"/>
        </w:rPr>
        <w:t xml:space="preserve">he child concerned may have parents who are divorced or separated, one living in the local authority’s area and one </w:t>
      </w:r>
      <w:r w:rsidR="00E173C9">
        <w:rPr>
          <w:rFonts w:ascii="Times New Roman" w:hAnsi="Times New Roman" w:cs="Times New Roman"/>
          <w:sz w:val="24"/>
          <w:szCs w:val="24"/>
        </w:rPr>
        <w:t>in a neighbouring county</w:t>
      </w:r>
      <w:r w:rsidR="00F35019">
        <w:rPr>
          <w:rFonts w:ascii="Times New Roman" w:hAnsi="Times New Roman" w:cs="Times New Roman"/>
          <w:sz w:val="24"/>
          <w:szCs w:val="24"/>
        </w:rPr>
        <w:t>,</w:t>
      </w:r>
      <w:r>
        <w:rPr>
          <w:rFonts w:ascii="Times New Roman" w:hAnsi="Times New Roman" w:cs="Times New Roman"/>
          <w:sz w:val="24"/>
          <w:szCs w:val="24"/>
        </w:rPr>
        <w:t xml:space="preserve"> and </w:t>
      </w:r>
      <w:r w:rsidR="00F35019">
        <w:rPr>
          <w:rFonts w:ascii="Times New Roman" w:hAnsi="Times New Roman" w:cs="Times New Roman"/>
          <w:sz w:val="24"/>
          <w:szCs w:val="24"/>
        </w:rPr>
        <w:t>the child</w:t>
      </w:r>
      <w:r>
        <w:rPr>
          <w:rFonts w:ascii="Times New Roman" w:hAnsi="Times New Roman" w:cs="Times New Roman"/>
          <w:sz w:val="24"/>
          <w:szCs w:val="24"/>
        </w:rPr>
        <w:t xml:space="preserve"> move</w:t>
      </w:r>
      <w:r w:rsidR="00E173C9">
        <w:rPr>
          <w:rFonts w:ascii="Times New Roman" w:hAnsi="Times New Roman" w:cs="Times New Roman"/>
          <w:sz w:val="24"/>
          <w:szCs w:val="24"/>
        </w:rPr>
        <w:t>s regularly</w:t>
      </w:r>
      <w:r>
        <w:rPr>
          <w:rFonts w:ascii="Times New Roman" w:hAnsi="Times New Roman" w:cs="Times New Roman"/>
          <w:sz w:val="24"/>
          <w:szCs w:val="24"/>
        </w:rPr>
        <w:t xml:space="preserve"> between the two in accordance with arrangements agreed between the parents or ordered by a court. </w:t>
      </w:r>
    </w:p>
    <w:p w14:paraId="71E7B203" w14:textId="0A3E052E" w:rsidR="00136EE3" w:rsidRDefault="00C72603" w:rsidP="00A574EC">
      <w:pPr>
        <w:pStyle w:val="Indent1"/>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In the case of looked-after children these issues may be particularly acute. </w:t>
      </w:r>
      <w:r w:rsidRPr="00C72603">
        <w:rPr>
          <w:rFonts w:ascii="Times New Roman" w:hAnsi="Times New Roman" w:cs="Times New Roman"/>
          <w:sz w:val="24"/>
          <w:szCs w:val="24"/>
        </w:rPr>
        <w:t>Mr Gillie gave the following example:-</w:t>
      </w:r>
    </w:p>
    <w:p w14:paraId="7BDE85D4" w14:textId="6A278A23" w:rsidR="00C72603" w:rsidRPr="00700A2C" w:rsidRDefault="00C72603" w:rsidP="00A574EC">
      <w:pPr>
        <w:pStyle w:val="Quote"/>
        <w:ind w:left="1560"/>
      </w:pPr>
      <w:r>
        <w:t>“A child with SEN is looked after by a local authority (A) who is the child’s corporate parent. There is a shortage of available care placements in Local Auth</w:t>
      </w:r>
      <w:r w:rsidR="00A36842">
        <w:t>o</w:t>
      </w:r>
      <w:r>
        <w:t>r</w:t>
      </w:r>
      <w:r w:rsidR="00A36842">
        <w:t>i</w:t>
      </w:r>
      <w:r>
        <w:t xml:space="preserve">ty A’s area. The local authority has to place the child in several different placements over the course of a six month period, all outside Local Authority A’s area. The child is placed in Local Authority </w:t>
      </w:r>
      <w:r w:rsidR="009F69C5">
        <w:t>[</w:t>
      </w:r>
      <w:r>
        <w:t>B then C, then D</w:t>
      </w:r>
      <w:r w:rsidR="009F69C5">
        <w:t>]</w:t>
      </w:r>
      <w:r>
        <w:t>. At the end of that six month period a longer-term foster placement becomes available in local authority A and the child moves back to Local Authority A’s area. In this scenario the child is deemed ordinarily resident in Local Authority A, who has responsibility to look after the child.”</w:t>
      </w:r>
    </w:p>
    <w:p w14:paraId="69A95395" w14:textId="77777777" w:rsidR="003F2974" w:rsidRDefault="00C72603" w:rsidP="00A574EC">
      <w:pPr>
        <w:pStyle w:val="Indent1"/>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In </w:t>
      </w:r>
      <w:r w:rsidR="00841551">
        <w:rPr>
          <w:rFonts w:ascii="Times New Roman" w:hAnsi="Times New Roman" w:cs="Times New Roman"/>
          <w:sz w:val="24"/>
          <w:szCs w:val="24"/>
        </w:rPr>
        <w:t xml:space="preserve">his valiant </w:t>
      </w:r>
      <w:r w:rsidR="006E1C9E">
        <w:rPr>
          <w:rFonts w:ascii="Times New Roman" w:hAnsi="Times New Roman" w:cs="Times New Roman"/>
          <w:sz w:val="24"/>
          <w:szCs w:val="24"/>
        </w:rPr>
        <w:t>submissions on this issue</w:t>
      </w:r>
      <w:r>
        <w:rPr>
          <w:rFonts w:ascii="Times New Roman" w:hAnsi="Times New Roman" w:cs="Times New Roman"/>
          <w:sz w:val="24"/>
          <w:szCs w:val="24"/>
        </w:rPr>
        <w:t xml:space="preserve"> Mr L</w:t>
      </w:r>
      <w:r w:rsidR="00700A2C">
        <w:rPr>
          <w:rFonts w:ascii="Times New Roman" w:hAnsi="Times New Roman" w:cs="Times New Roman"/>
          <w:sz w:val="24"/>
          <w:szCs w:val="24"/>
        </w:rPr>
        <w:t>ine</w:t>
      </w:r>
      <w:r>
        <w:rPr>
          <w:rFonts w:ascii="Times New Roman" w:hAnsi="Times New Roman" w:cs="Times New Roman"/>
          <w:sz w:val="24"/>
          <w:szCs w:val="24"/>
        </w:rPr>
        <w:t xml:space="preserve"> conceded that a simple test of physical presence or absence on a particular date is inadequate. He accepted that there must be a </w:t>
      </w:r>
      <w:r w:rsidRPr="00C72603">
        <w:rPr>
          <w:rFonts w:ascii="Times New Roman" w:hAnsi="Times New Roman" w:cs="Times New Roman"/>
          <w:i/>
          <w:iCs/>
          <w:sz w:val="24"/>
          <w:szCs w:val="24"/>
        </w:rPr>
        <w:t>de minimis</w:t>
      </w:r>
      <w:r>
        <w:rPr>
          <w:rFonts w:ascii="Times New Roman" w:hAnsi="Times New Roman" w:cs="Times New Roman"/>
          <w:sz w:val="24"/>
          <w:szCs w:val="24"/>
        </w:rPr>
        <w:t xml:space="preserve"> exception for very short holidays and the like. He argued that </w:t>
      </w:r>
      <w:r w:rsidR="00F7123A">
        <w:rPr>
          <w:rFonts w:ascii="Times New Roman" w:hAnsi="Times New Roman" w:cs="Times New Roman"/>
          <w:sz w:val="24"/>
          <w:szCs w:val="24"/>
        </w:rPr>
        <w:t xml:space="preserve">where to draw the line was a matter of discretion with the decision challengeable only by judicial review. </w:t>
      </w:r>
    </w:p>
    <w:p w14:paraId="483BCADE" w14:textId="35563745" w:rsidR="00F7123A" w:rsidRDefault="00F7123A" w:rsidP="00A574EC">
      <w:pPr>
        <w:pStyle w:val="Indent1"/>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Given the inadequacies of the physical presence test, the obvious alternative is to use the test of “ordinary or habitual residence”, as it was described in the judgment of the Upper Tribunal. Mr L</w:t>
      </w:r>
      <w:r w:rsidR="00B55535">
        <w:rPr>
          <w:rFonts w:ascii="Times New Roman" w:hAnsi="Times New Roman" w:cs="Times New Roman"/>
          <w:sz w:val="24"/>
          <w:szCs w:val="24"/>
        </w:rPr>
        <w:t>ine</w:t>
      </w:r>
      <w:r>
        <w:rPr>
          <w:rFonts w:ascii="Times New Roman" w:hAnsi="Times New Roman" w:cs="Times New Roman"/>
          <w:sz w:val="24"/>
          <w:szCs w:val="24"/>
        </w:rPr>
        <w:t xml:space="preserve"> is right to point out that the two terms are not quite interchangeable, but I do not think it is necessary in th</w:t>
      </w:r>
      <w:r w:rsidR="007D3607">
        <w:rPr>
          <w:rFonts w:ascii="Times New Roman" w:hAnsi="Times New Roman" w:cs="Times New Roman"/>
          <w:sz w:val="24"/>
          <w:szCs w:val="24"/>
        </w:rPr>
        <w:t xml:space="preserve">is </w:t>
      </w:r>
      <w:r>
        <w:rPr>
          <w:rFonts w:ascii="Times New Roman" w:hAnsi="Times New Roman" w:cs="Times New Roman"/>
          <w:sz w:val="24"/>
          <w:szCs w:val="24"/>
        </w:rPr>
        <w:t xml:space="preserve">case to </w:t>
      </w:r>
      <w:r w:rsidR="008A20F6">
        <w:rPr>
          <w:rFonts w:ascii="Times New Roman" w:hAnsi="Times New Roman" w:cs="Times New Roman"/>
          <w:sz w:val="24"/>
          <w:szCs w:val="24"/>
        </w:rPr>
        <w:t xml:space="preserve">explore </w:t>
      </w:r>
      <w:r w:rsidR="00BD5845">
        <w:rPr>
          <w:rFonts w:ascii="Times New Roman" w:hAnsi="Times New Roman" w:cs="Times New Roman"/>
          <w:sz w:val="24"/>
          <w:szCs w:val="24"/>
        </w:rPr>
        <w:t>the distinctions between them.</w:t>
      </w:r>
      <w:r w:rsidR="00AD7D7D">
        <w:rPr>
          <w:rFonts w:ascii="Times New Roman" w:hAnsi="Times New Roman" w:cs="Times New Roman"/>
          <w:sz w:val="24"/>
          <w:szCs w:val="24"/>
        </w:rPr>
        <w:t xml:space="preserve"> Ordina</w:t>
      </w:r>
      <w:r w:rsidR="00EE409C">
        <w:rPr>
          <w:rFonts w:ascii="Times New Roman" w:hAnsi="Times New Roman" w:cs="Times New Roman"/>
          <w:sz w:val="24"/>
          <w:szCs w:val="24"/>
        </w:rPr>
        <w:t>ry residence</w:t>
      </w:r>
      <w:r w:rsidR="0029007E">
        <w:rPr>
          <w:rFonts w:ascii="Times New Roman" w:hAnsi="Times New Roman" w:cs="Times New Roman"/>
          <w:sz w:val="24"/>
          <w:szCs w:val="24"/>
        </w:rPr>
        <w:t xml:space="preserve">, the more usual </w:t>
      </w:r>
      <w:r w:rsidR="007D3607">
        <w:rPr>
          <w:rFonts w:ascii="Times New Roman" w:hAnsi="Times New Roman" w:cs="Times New Roman"/>
          <w:sz w:val="24"/>
          <w:szCs w:val="24"/>
        </w:rPr>
        <w:t>term</w:t>
      </w:r>
      <w:r w:rsidR="0029007E">
        <w:rPr>
          <w:rFonts w:ascii="Times New Roman" w:hAnsi="Times New Roman" w:cs="Times New Roman"/>
          <w:sz w:val="24"/>
          <w:szCs w:val="24"/>
        </w:rPr>
        <w:t xml:space="preserve"> in </w:t>
      </w:r>
      <w:r w:rsidR="001C205F">
        <w:rPr>
          <w:rFonts w:ascii="Times New Roman" w:hAnsi="Times New Roman" w:cs="Times New Roman"/>
          <w:sz w:val="24"/>
          <w:szCs w:val="24"/>
        </w:rPr>
        <w:t xml:space="preserve">the </w:t>
      </w:r>
      <w:r w:rsidR="0029007E">
        <w:rPr>
          <w:rFonts w:ascii="Times New Roman" w:hAnsi="Times New Roman" w:cs="Times New Roman"/>
          <w:sz w:val="24"/>
          <w:szCs w:val="24"/>
        </w:rPr>
        <w:t>law</w:t>
      </w:r>
      <w:r w:rsidR="00AA3B34">
        <w:rPr>
          <w:rFonts w:ascii="Times New Roman" w:hAnsi="Times New Roman" w:cs="Times New Roman"/>
          <w:sz w:val="24"/>
          <w:szCs w:val="24"/>
        </w:rPr>
        <w:t xml:space="preserve"> relating to children</w:t>
      </w:r>
      <w:r w:rsidR="00694C2E">
        <w:rPr>
          <w:rFonts w:ascii="Times New Roman" w:hAnsi="Times New Roman" w:cs="Times New Roman"/>
          <w:sz w:val="24"/>
          <w:szCs w:val="24"/>
        </w:rPr>
        <w:t>,</w:t>
      </w:r>
      <w:r w:rsidR="00EE409C">
        <w:rPr>
          <w:rFonts w:ascii="Times New Roman" w:hAnsi="Times New Roman" w:cs="Times New Roman"/>
          <w:sz w:val="24"/>
          <w:szCs w:val="24"/>
        </w:rPr>
        <w:t xml:space="preserve"> is sufficient f</w:t>
      </w:r>
      <w:r w:rsidR="0029007E">
        <w:rPr>
          <w:rFonts w:ascii="Times New Roman" w:hAnsi="Times New Roman" w:cs="Times New Roman"/>
          <w:sz w:val="24"/>
          <w:szCs w:val="24"/>
        </w:rPr>
        <w:t>o</w:t>
      </w:r>
      <w:r w:rsidR="00EE409C">
        <w:rPr>
          <w:rFonts w:ascii="Times New Roman" w:hAnsi="Times New Roman" w:cs="Times New Roman"/>
          <w:sz w:val="24"/>
          <w:szCs w:val="24"/>
        </w:rPr>
        <w:t xml:space="preserve">r present </w:t>
      </w:r>
      <w:r w:rsidR="0029007E">
        <w:rPr>
          <w:rFonts w:ascii="Times New Roman" w:hAnsi="Times New Roman" w:cs="Times New Roman"/>
          <w:sz w:val="24"/>
          <w:szCs w:val="24"/>
        </w:rPr>
        <w:t>purposes.</w:t>
      </w:r>
    </w:p>
    <w:p w14:paraId="2F3115B9" w14:textId="49F885E7" w:rsidR="007328C8" w:rsidRDefault="007328C8" w:rsidP="00A574EC">
      <w:pPr>
        <w:pStyle w:val="Indent1"/>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As Lord Carnwath</w:t>
      </w:r>
      <w:r w:rsidR="00E43060">
        <w:rPr>
          <w:rFonts w:ascii="Times New Roman" w:hAnsi="Times New Roman" w:cs="Times New Roman"/>
          <w:sz w:val="24"/>
          <w:szCs w:val="24"/>
        </w:rPr>
        <w:t xml:space="preserve"> </w:t>
      </w:r>
      <w:r w:rsidR="00366E3E">
        <w:rPr>
          <w:rFonts w:ascii="Times New Roman" w:hAnsi="Times New Roman" w:cs="Times New Roman"/>
          <w:sz w:val="24"/>
          <w:szCs w:val="24"/>
        </w:rPr>
        <w:t xml:space="preserve">JSC </w:t>
      </w:r>
      <w:r w:rsidR="00E43060">
        <w:rPr>
          <w:rFonts w:ascii="Times New Roman" w:hAnsi="Times New Roman" w:cs="Times New Roman"/>
          <w:sz w:val="24"/>
          <w:szCs w:val="24"/>
        </w:rPr>
        <w:t xml:space="preserve">said in </w:t>
      </w:r>
      <w:r w:rsidR="00E43060" w:rsidRPr="00E22B2D">
        <w:rPr>
          <w:rFonts w:ascii="Times New Roman" w:hAnsi="Times New Roman" w:cs="Times New Roman"/>
          <w:i/>
          <w:iCs/>
          <w:sz w:val="24"/>
          <w:szCs w:val="24"/>
        </w:rPr>
        <w:t>R</w:t>
      </w:r>
      <w:r w:rsidR="00B55535">
        <w:rPr>
          <w:rFonts w:ascii="Times New Roman" w:hAnsi="Times New Roman" w:cs="Times New Roman"/>
          <w:i/>
          <w:iCs/>
          <w:sz w:val="24"/>
          <w:szCs w:val="24"/>
        </w:rPr>
        <w:t xml:space="preserve"> </w:t>
      </w:r>
      <w:r w:rsidR="00E43060">
        <w:rPr>
          <w:rFonts w:ascii="Times New Roman" w:hAnsi="Times New Roman" w:cs="Times New Roman"/>
          <w:sz w:val="24"/>
          <w:szCs w:val="24"/>
        </w:rPr>
        <w:t>(</w:t>
      </w:r>
      <w:r w:rsidR="00E43060">
        <w:rPr>
          <w:rFonts w:ascii="Times New Roman" w:hAnsi="Times New Roman" w:cs="Times New Roman"/>
          <w:i/>
          <w:iCs/>
          <w:sz w:val="24"/>
          <w:szCs w:val="24"/>
        </w:rPr>
        <w:t>Cornwall Council</w:t>
      </w:r>
      <w:r w:rsidR="00B55535">
        <w:rPr>
          <w:rFonts w:ascii="Times New Roman" w:hAnsi="Times New Roman" w:cs="Times New Roman"/>
          <w:i/>
          <w:iCs/>
          <w:sz w:val="24"/>
          <w:szCs w:val="24"/>
        </w:rPr>
        <w:t>)</w:t>
      </w:r>
      <w:r w:rsidR="00E43060">
        <w:rPr>
          <w:rFonts w:ascii="Times New Roman" w:hAnsi="Times New Roman" w:cs="Times New Roman"/>
          <w:i/>
          <w:iCs/>
          <w:sz w:val="24"/>
          <w:szCs w:val="24"/>
        </w:rPr>
        <w:t xml:space="preserve"> v Secretary of State for Health </w:t>
      </w:r>
      <w:r w:rsidR="00E43060" w:rsidRPr="00E22B2D">
        <w:rPr>
          <w:rFonts w:ascii="Times New Roman" w:hAnsi="Times New Roman" w:cs="Times New Roman"/>
          <w:sz w:val="24"/>
          <w:szCs w:val="24"/>
        </w:rPr>
        <w:t xml:space="preserve">[2015] UKSC </w:t>
      </w:r>
      <w:r w:rsidR="00E22B2D" w:rsidRPr="00E22B2D">
        <w:rPr>
          <w:rFonts w:ascii="Times New Roman" w:hAnsi="Times New Roman" w:cs="Times New Roman"/>
          <w:sz w:val="24"/>
          <w:szCs w:val="24"/>
        </w:rPr>
        <w:t>46</w:t>
      </w:r>
      <w:r w:rsidR="00E22B2D">
        <w:rPr>
          <w:rFonts w:ascii="Times New Roman" w:hAnsi="Times New Roman" w:cs="Times New Roman"/>
          <w:sz w:val="24"/>
          <w:szCs w:val="24"/>
        </w:rPr>
        <w:t xml:space="preserve">; [2016] AC 137, the ordinary </w:t>
      </w:r>
      <w:r w:rsidR="00A65FD2">
        <w:rPr>
          <w:rFonts w:ascii="Times New Roman" w:hAnsi="Times New Roman" w:cs="Times New Roman"/>
          <w:sz w:val="24"/>
          <w:szCs w:val="24"/>
        </w:rPr>
        <w:t>residence test</w:t>
      </w:r>
      <w:r w:rsidR="009870E3">
        <w:rPr>
          <w:rFonts w:ascii="Times New Roman" w:hAnsi="Times New Roman" w:cs="Times New Roman"/>
          <w:sz w:val="24"/>
          <w:szCs w:val="24"/>
        </w:rPr>
        <w:t xml:space="preserve"> </w:t>
      </w:r>
      <w:r w:rsidR="00A65FD2">
        <w:rPr>
          <w:rFonts w:ascii="Times New Roman" w:hAnsi="Times New Roman" w:cs="Times New Roman"/>
          <w:sz w:val="24"/>
          <w:szCs w:val="24"/>
        </w:rPr>
        <w:t>has proved resilient</w:t>
      </w:r>
      <w:r w:rsidR="00366E3E">
        <w:rPr>
          <w:rFonts w:ascii="Times New Roman" w:hAnsi="Times New Roman" w:cs="Times New Roman"/>
          <w:sz w:val="24"/>
          <w:szCs w:val="24"/>
        </w:rPr>
        <w:t>. T</w:t>
      </w:r>
      <w:r w:rsidR="00A65FD2">
        <w:rPr>
          <w:rFonts w:ascii="Times New Roman" w:hAnsi="Times New Roman" w:cs="Times New Roman"/>
          <w:sz w:val="24"/>
          <w:szCs w:val="24"/>
        </w:rPr>
        <w:t>he Supreme Court held in that case that the policy of the Children Act 1989 and</w:t>
      </w:r>
      <w:r w:rsidR="00C11540">
        <w:rPr>
          <w:rFonts w:ascii="Times New Roman" w:hAnsi="Times New Roman" w:cs="Times New Roman"/>
          <w:sz w:val="24"/>
          <w:szCs w:val="24"/>
        </w:rPr>
        <w:t xml:space="preserve"> the National Assistance Act 1948 was to leave the ordinary residence of a person provided with accommodation by a local authority unaffected by </w:t>
      </w:r>
      <w:r w:rsidR="00D878A0">
        <w:rPr>
          <w:rFonts w:ascii="Times New Roman" w:hAnsi="Times New Roman" w:cs="Times New Roman"/>
          <w:sz w:val="24"/>
          <w:szCs w:val="24"/>
        </w:rPr>
        <w:t>the location of the particular placement, in order to prevent authorities from exporting their responsibilities</w:t>
      </w:r>
      <w:r w:rsidR="00483AB7">
        <w:rPr>
          <w:rFonts w:ascii="Times New Roman" w:hAnsi="Times New Roman" w:cs="Times New Roman"/>
          <w:sz w:val="24"/>
          <w:szCs w:val="24"/>
        </w:rPr>
        <w:t xml:space="preserve">. In the context of children or vulnerable adults to whom a local authority has statutory duties it was common ground in the </w:t>
      </w:r>
      <w:r w:rsidR="00483AB7">
        <w:rPr>
          <w:rFonts w:ascii="Times New Roman" w:hAnsi="Times New Roman" w:cs="Times New Roman"/>
          <w:i/>
          <w:iCs/>
          <w:sz w:val="24"/>
          <w:szCs w:val="24"/>
        </w:rPr>
        <w:t>Cornwall</w:t>
      </w:r>
      <w:r w:rsidR="00483AB7">
        <w:rPr>
          <w:rFonts w:ascii="Times New Roman" w:hAnsi="Times New Roman" w:cs="Times New Roman"/>
          <w:sz w:val="24"/>
          <w:szCs w:val="24"/>
        </w:rPr>
        <w:t xml:space="preserve"> case that </w:t>
      </w:r>
      <w:r w:rsidR="00F224B1">
        <w:rPr>
          <w:rFonts w:ascii="Times New Roman" w:hAnsi="Times New Roman" w:cs="Times New Roman"/>
          <w:sz w:val="24"/>
          <w:szCs w:val="24"/>
        </w:rPr>
        <w:t xml:space="preserve">the subject could be ordinarily resident in the area of only one local authority. Otherwise the test would </w:t>
      </w:r>
      <w:r w:rsidR="00817B6F">
        <w:rPr>
          <w:rFonts w:ascii="Times New Roman" w:hAnsi="Times New Roman" w:cs="Times New Roman"/>
          <w:sz w:val="24"/>
          <w:szCs w:val="24"/>
        </w:rPr>
        <w:t xml:space="preserve">not </w:t>
      </w:r>
      <w:r w:rsidR="00F224B1">
        <w:rPr>
          <w:rFonts w:ascii="Times New Roman" w:hAnsi="Times New Roman" w:cs="Times New Roman"/>
          <w:sz w:val="24"/>
          <w:szCs w:val="24"/>
        </w:rPr>
        <w:t xml:space="preserve">be an effective tool for allocating responsibility </w:t>
      </w:r>
      <w:r w:rsidR="00C609BD">
        <w:rPr>
          <w:rFonts w:ascii="Times New Roman" w:hAnsi="Times New Roman" w:cs="Times New Roman"/>
          <w:sz w:val="24"/>
          <w:szCs w:val="24"/>
        </w:rPr>
        <w:t xml:space="preserve">for services or their cost. </w:t>
      </w:r>
    </w:p>
    <w:p w14:paraId="2977375A" w14:textId="64D6499E" w:rsidR="009E02BC" w:rsidRDefault="00C609BD" w:rsidP="00A574EC">
      <w:pPr>
        <w:pStyle w:val="Indent1"/>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The applicability </w:t>
      </w:r>
      <w:r w:rsidR="00024619">
        <w:rPr>
          <w:rFonts w:ascii="Times New Roman" w:hAnsi="Times New Roman" w:cs="Times New Roman"/>
          <w:sz w:val="24"/>
          <w:szCs w:val="24"/>
        </w:rPr>
        <w:t xml:space="preserve">and utility of the ordinary residence test </w:t>
      </w:r>
      <w:r w:rsidR="00291775">
        <w:rPr>
          <w:rFonts w:ascii="Times New Roman" w:hAnsi="Times New Roman" w:cs="Times New Roman"/>
          <w:sz w:val="24"/>
          <w:szCs w:val="24"/>
        </w:rPr>
        <w:t xml:space="preserve">in SEN cases </w:t>
      </w:r>
      <w:r w:rsidR="00024619">
        <w:rPr>
          <w:rFonts w:ascii="Times New Roman" w:hAnsi="Times New Roman" w:cs="Times New Roman"/>
          <w:sz w:val="24"/>
          <w:szCs w:val="24"/>
        </w:rPr>
        <w:t xml:space="preserve">is confirmed by the guidance </w:t>
      </w:r>
      <w:r w:rsidR="003B5D15">
        <w:rPr>
          <w:rFonts w:ascii="Times New Roman" w:hAnsi="Times New Roman" w:cs="Times New Roman"/>
          <w:sz w:val="24"/>
          <w:szCs w:val="24"/>
        </w:rPr>
        <w:t xml:space="preserve">provided by the Department for Education </w:t>
      </w:r>
      <w:r w:rsidR="00DF3C05">
        <w:rPr>
          <w:rFonts w:ascii="Times New Roman" w:hAnsi="Times New Roman" w:cs="Times New Roman"/>
          <w:sz w:val="24"/>
          <w:szCs w:val="24"/>
        </w:rPr>
        <w:t xml:space="preserve">and its predecessors </w:t>
      </w:r>
      <w:r w:rsidR="003B5D15">
        <w:rPr>
          <w:rFonts w:ascii="Times New Roman" w:hAnsi="Times New Roman" w:cs="Times New Roman"/>
          <w:sz w:val="24"/>
          <w:szCs w:val="24"/>
        </w:rPr>
        <w:t xml:space="preserve">over many years. </w:t>
      </w:r>
      <w:r w:rsidR="007D5C30" w:rsidRPr="007D5C30">
        <w:rPr>
          <w:rFonts w:ascii="Times New Roman" w:hAnsi="Times New Roman" w:cs="Times New Roman"/>
          <w:sz w:val="24"/>
          <w:szCs w:val="24"/>
        </w:rPr>
        <w:t xml:space="preserve">As long ago as 2009 the Department set out in its </w:t>
      </w:r>
      <w:r w:rsidR="007D5C30" w:rsidRPr="00D5164D">
        <w:rPr>
          <w:rFonts w:ascii="Times New Roman" w:hAnsi="Times New Roman" w:cs="Times New Roman"/>
          <w:i/>
          <w:iCs/>
          <w:sz w:val="24"/>
          <w:szCs w:val="24"/>
        </w:rPr>
        <w:t>Guidance on Looked After Children with Special Educational Needs placed out-of-authority</w:t>
      </w:r>
      <w:r w:rsidR="007D5C30" w:rsidRPr="007D5C30">
        <w:rPr>
          <w:rFonts w:ascii="Times New Roman" w:hAnsi="Times New Roman" w:cs="Times New Roman"/>
          <w:sz w:val="24"/>
          <w:szCs w:val="24"/>
        </w:rPr>
        <w:t xml:space="preserve"> that</w:t>
      </w:r>
      <w:r w:rsidR="009E02BC">
        <w:rPr>
          <w:rFonts w:ascii="Times New Roman" w:hAnsi="Times New Roman" w:cs="Times New Roman"/>
          <w:sz w:val="24"/>
          <w:szCs w:val="24"/>
        </w:rPr>
        <w:t>:</w:t>
      </w:r>
    </w:p>
    <w:p w14:paraId="02344207" w14:textId="6D18DD2B" w:rsidR="009E02BC" w:rsidRDefault="00694C2E" w:rsidP="00A574EC">
      <w:pPr>
        <w:pStyle w:val="Quote"/>
      </w:pPr>
      <w:r>
        <w:t>“</w:t>
      </w:r>
      <w:r w:rsidR="007D5C30" w:rsidRPr="007D5C30">
        <w:t>The term ‘in their area’ is not defined in the legislation. In line with established practice, the Department construes this phrase to mean ‘ordinarily resident in their area’. This means that an SEN assessment must be carried out by the authority where the child is ordinarily resident</w:t>
      </w:r>
      <w:r w:rsidR="004C41C2">
        <w:t>.”</w:t>
      </w:r>
      <w:r w:rsidR="007D5C30" w:rsidRPr="007D5C30">
        <w:t xml:space="preserve"> </w:t>
      </w:r>
    </w:p>
    <w:p w14:paraId="2B5A2AF9" w14:textId="539EB909" w:rsidR="00C609BD" w:rsidRDefault="007D5C30" w:rsidP="00A574EC">
      <w:pPr>
        <w:pStyle w:val="Indent1"/>
        <w:spacing w:line="240" w:lineRule="auto"/>
        <w:ind w:firstLine="0"/>
        <w:rPr>
          <w:rFonts w:ascii="Times New Roman" w:hAnsi="Times New Roman" w:cs="Times New Roman"/>
          <w:sz w:val="24"/>
          <w:szCs w:val="24"/>
        </w:rPr>
      </w:pPr>
      <w:r w:rsidRPr="007D5C30">
        <w:rPr>
          <w:rFonts w:ascii="Times New Roman" w:hAnsi="Times New Roman" w:cs="Times New Roman"/>
          <w:sz w:val="24"/>
          <w:szCs w:val="24"/>
        </w:rPr>
        <w:t xml:space="preserve">The 2015 statutory guidance promulgated under the CFA 2014, the </w:t>
      </w:r>
      <w:r w:rsidRPr="00D5164D">
        <w:rPr>
          <w:rFonts w:ascii="Times New Roman" w:hAnsi="Times New Roman" w:cs="Times New Roman"/>
          <w:i/>
          <w:iCs/>
          <w:sz w:val="24"/>
          <w:szCs w:val="24"/>
        </w:rPr>
        <w:t>Special educational needs and disability code of practice: 0 to 25 years</w:t>
      </w:r>
      <w:r w:rsidRPr="007D5C30">
        <w:rPr>
          <w:rFonts w:ascii="Times New Roman" w:hAnsi="Times New Roman" w:cs="Times New Roman"/>
          <w:sz w:val="24"/>
          <w:szCs w:val="24"/>
        </w:rPr>
        <w:t xml:space="preserve">, </w:t>
      </w:r>
      <w:r w:rsidR="00BD116C">
        <w:rPr>
          <w:rFonts w:ascii="Times New Roman" w:hAnsi="Times New Roman" w:cs="Times New Roman"/>
          <w:sz w:val="24"/>
          <w:szCs w:val="24"/>
        </w:rPr>
        <w:t xml:space="preserve">also </w:t>
      </w:r>
      <w:r w:rsidRPr="007D5C30">
        <w:rPr>
          <w:rFonts w:ascii="Times New Roman" w:hAnsi="Times New Roman" w:cs="Times New Roman"/>
          <w:sz w:val="24"/>
          <w:szCs w:val="24"/>
        </w:rPr>
        <w:t xml:space="preserve">continues to adopt </w:t>
      </w:r>
      <w:r w:rsidR="000A5615">
        <w:rPr>
          <w:rFonts w:ascii="Times New Roman" w:hAnsi="Times New Roman" w:cs="Times New Roman"/>
          <w:sz w:val="24"/>
          <w:szCs w:val="24"/>
        </w:rPr>
        <w:t>a test</w:t>
      </w:r>
      <w:r w:rsidRPr="007D5C30">
        <w:rPr>
          <w:rFonts w:ascii="Times New Roman" w:hAnsi="Times New Roman" w:cs="Times New Roman"/>
          <w:sz w:val="24"/>
          <w:szCs w:val="24"/>
        </w:rPr>
        <w:t xml:space="preserve"> of ordinary residence</w:t>
      </w:r>
      <w:r w:rsidR="0001214D">
        <w:rPr>
          <w:rFonts w:ascii="Times New Roman" w:hAnsi="Times New Roman" w:cs="Times New Roman"/>
          <w:sz w:val="24"/>
          <w:szCs w:val="24"/>
        </w:rPr>
        <w:t>.</w:t>
      </w:r>
      <w:r w:rsidR="00727661">
        <w:rPr>
          <w:rFonts w:ascii="Times New Roman" w:hAnsi="Times New Roman" w:cs="Times New Roman"/>
          <w:sz w:val="24"/>
          <w:szCs w:val="24"/>
        </w:rPr>
        <w:t xml:space="preserve"> </w:t>
      </w:r>
      <w:r w:rsidR="00F8286D">
        <w:rPr>
          <w:rFonts w:ascii="Times New Roman" w:hAnsi="Times New Roman" w:cs="Times New Roman"/>
          <w:sz w:val="24"/>
          <w:szCs w:val="24"/>
        </w:rPr>
        <w:t xml:space="preserve">Neither of these guidance documents is binding on the court, but </w:t>
      </w:r>
      <w:r w:rsidR="00627422">
        <w:rPr>
          <w:rFonts w:ascii="Times New Roman" w:hAnsi="Times New Roman" w:cs="Times New Roman"/>
          <w:sz w:val="24"/>
          <w:szCs w:val="24"/>
        </w:rPr>
        <w:t xml:space="preserve">Mr Line did not persuade me that </w:t>
      </w:r>
      <w:r w:rsidR="006C0003">
        <w:rPr>
          <w:rFonts w:ascii="Times New Roman" w:hAnsi="Times New Roman" w:cs="Times New Roman"/>
          <w:sz w:val="24"/>
          <w:szCs w:val="24"/>
        </w:rPr>
        <w:t xml:space="preserve">they were legally erroneous or that the test was </w:t>
      </w:r>
      <w:r w:rsidR="001928AA">
        <w:rPr>
          <w:rFonts w:ascii="Times New Roman" w:hAnsi="Times New Roman" w:cs="Times New Roman"/>
          <w:sz w:val="24"/>
          <w:szCs w:val="24"/>
        </w:rPr>
        <w:t>too difficult to apply in practice</w:t>
      </w:r>
      <w:r w:rsidR="00F8575F">
        <w:rPr>
          <w:rFonts w:ascii="Times New Roman" w:hAnsi="Times New Roman" w:cs="Times New Roman"/>
          <w:sz w:val="24"/>
          <w:szCs w:val="24"/>
        </w:rPr>
        <w:t>, at least in the great majority of cases</w:t>
      </w:r>
      <w:r w:rsidR="001928AA">
        <w:rPr>
          <w:rFonts w:ascii="Times New Roman" w:hAnsi="Times New Roman" w:cs="Times New Roman"/>
          <w:sz w:val="24"/>
          <w:szCs w:val="24"/>
        </w:rPr>
        <w:t>.</w:t>
      </w:r>
    </w:p>
    <w:p w14:paraId="66E5DF55" w14:textId="59022379" w:rsidR="00356D06" w:rsidRDefault="00C96D29" w:rsidP="00A574EC">
      <w:pPr>
        <w:pStyle w:val="Indent1"/>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Use of the </w:t>
      </w:r>
      <w:r w:rsidR="006F7896">
        <w:rPr>
          <w:rFonts w:ascii="Times New Roman" w:hAnsi="Times New Roman" w:cs="Times New Roman"/>
          <w:sz w:val="24"/>
          <w:szCs w:val="24"/>
        </w:rPr>
        <w:t>ordinary residence test is also in my view consistent with public policy and in particular with the Armed Forces Covenant to which Hampshire has subscribed for some years.</w:t>
      </w:r>
      <w:r w:rsidR="007D71EE">
        <w:rPr>
          <w:rFonts w:ascii="Times New Roman" w:hAnsi="Times New Roman" w:cs="Times New Roman"/>
          <w:sz w:val="24"/>
          <w:szCs w:val="24"/>
        </w:rPr>
        <w:t xml:space="preserve"> On the Appellant’s construction, Hampshire m</w:t>
      </w:r>
      <w:r w:rsidR="004E0DF7">
        <w:rPr>
          <w:rFonts w:ascii="Times New Roman" w:hAnsi="Times New Roman" w:cs="Times New Roman"/>
          <w:sz w:val="24"/>
          <w:szCs w:val="24"/>
        </w:rPr>
        <w:t xml:space="preserve">ight </w:t>
      </w:r>
      <w:r w:rsidR="007D71EE">
        <w:rPr>
          <w:rFonts w:ascii="Times New Roman" w:hAnsi="Times New Roman" w:cs="Times New Roman"/>
          <w:sz w:val="24"/>
          <w:szCs w:val="24"/>
        </w:rPr>
        <w:t>cease to maintain the EHCP whenever T accompanies his father abroad on deployment</w:t>
      </w:r>
      <w:r w:rsidR="004E0DF7">
        <w:rPr>
          <w:rFonts w:ascii="Times New Roman" w:hAnsi="Times New Roman" w:cs="Times New Roman"/>
          <w:sz w:val="24"/>
          <w:szCs w:val="24"/>
        </w:rPr>
        <w:t>. U</w:t>
      </w:r>
      <w:r w:rsidR="007D71EE">
        <w:rPr>
          <w:rFonts w:ascii="Times New Roman" w:hAnsi="Times New Roman" w:cs="Times New Roman"/>
          <w:sz w:val="24"/>
          <w:szCs w:val="24"/>
        </w:rPr>
        <w:t xml:space="preserve">pon T’s return to this country there would be no SEN provision in place and the process to obtain a new EHCP </w:t>
      </w:r>
      <w:r w:rsidR="00A37DA9">
        <w:rPr>
          <w:rFonts w:ascii="Times New Roman" w:hAnsi="Times New Roman" w:cs="Times New Roman"/>
          <w:sz w:val="24"/>
          <w:szCs w:val="24"/>
        </w:rPr>
        <w:t>would have to begin from scratch. Assurances that the case would be expedited do not take the matter much further</w:t>
      </w:r>
      <w:r w:rsidR="00D03E45">
        <w:rPr>
          <w:rFonts w:ascii="Times New Roman" w:hAnsi="Times New Roman" w:cs="Times New Roman"/>
          <w:sz w:val="24"/>
          <w:szCs w:val="24"/>
        </w:rPr>
        <w:t xml:space="preserve"> and </w:t>
      </w:r>
      <w:r w:rsidR="00F13F14">
        <w:rPr>
          <w:rFonts w:ascii="Times New Roman" w:hAnsi="Times New Roman" w:cs="Times New Roman"/>
          <w:sz w:val="24"/>
          <w:szCs w:val="24"/>
        </w:rPr>
        <w:t>might prove impossible</w:t>
      </w:r>
      <w:r w:rsidR="00D03E45">
        <w:rPr>
          <w:rFonts w:ascii="Times New Roman" w:hAnsi="Times New Roman" w:cs="Times New Roman"/>
          <w:sz w:val="24"/>
          <w:szCs w:val="24"/>
        </w:rPr>
        <w:t xml:space="preserve"> to enforce</w:t>
      </w:r>
      <w:r w:rsidR="00A37DA9">
        <w:rPr>
          <w:rFonts w:ascii="Times New Roman" w:hAnsi="Times New Roman" w:cs="Times New Roman"/>
          <w:sz w:val="24"/>
          <w:szCs w:val="24"/>
        </w:rPr>
        <w:t>.</w:t>
      </w:r>
      <w:r w:rsidR="00703808">
        <w:rPr>
          <w:rFonts w:ascii="Times New Roman" w:hAnsi="Times New Roman" w:cs="Times New Roman"/>
          <w:sz w:val="24"/>
          <w:szCs w:val="24"/>
        </w:rPr>
        <w:t xml:space="preserve"> Far better that on T’s return to the UK, with the EHCP still in place, he can continue </w:t>
      </w:r>
      <w:r w:rsidR="005D255E">
        <w:rPr>
          <w:rFonts w:ascii="Times New Roman" w:hAnsi="Times New Roman" w:cs="Times New Roman"/>
          <w:sz w:val="24"/>
          <w:szCs w:val="24"/>
        </w:rPr>
        <w:t>to have SE</w:t>
      </w:r>
      <w:r w:rsidR="00F13F14">
        <w:rPr>
          <w:rFonts w:ascii="Times New Roman" w:hAnsi="Times New Roman" w:cs="Times New Roman"/>
          <w:sz w:val="24"/>
          <w:szCs w:val="24"/>
        </w:rPr>
        <w:t>N</w:t>
      </w:r>
      <w:r w:rsidR="005D255E">
        <w:rPr>
          <w:rFonts w:ascii="Times New Roman" w:hAnsi="Times New Roman" w:cs="Times New Roman"/>
          <w:sz w:val="24"/>
          <w:szCs w:val="24"/>
        </w:rPr>
        <w:t xml:space="preserve"> support without any gaps and without the family having to grapple with a new assessment process.</w:t>
      </w:r>
      <w:r w:rsidR="00A1178F">
        <w:rPr>
          <w:rFonts w:ascii="Times New Roman" w:hAnsi="Times New Roman" w:cs="Times New Roman"/>
          <w:sz w:val="24"/>
          <w:szCs w:val="24"/>
        </w:rPr>
        <w:t xml:space="preserve"> </w:t>
      </w:r>
    </w:p>
    <w:p w14:paraId="69D24789" w14:textId="2989E374" w:rsidR="00C96D29" w:rsidRDefault="00A1178F" w:rsidP="00A574EC">
      <w:pPr>
        <w:pStyle w:val="Indent1"/>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I accept also </w:t>
      </w:r>
      <w:r w:rsidR="006B2758">
        <w:rPr>
          <w:rFonts w:ascii="Times New Roman" w:hAnsi="Times New Roman" w:cs="Times New Roman"/>
          <w:sz w:val="24"/>
          <w:szCs w:val="24"/>
        </w:rPr>
        <w:t>that the Respondent</w:t>
      </w:r>
      <w:r w:rsidR="00522B6A">
        <w:rPr>
          <w:rFonts w:ascii="Times New Roman" w:hAnsi="Times New Roman" w:cs="Times New Roman"/>
          <w:sz w:val="24"/>
          <w:szCs w:val="24"/>
        </w:rPr>
        <w:t>s’</w:t>
      </w:r>
      <w:r w:rsidR="006B2758">
        <w:rPr>
          <w:rFonts w:ascii="Times New Roman" w:hAnsi="Times New Roman" w:cs="Times New Roman"/>
          <w:sz w:val="24"/>
          <w:szCs w:val="24"/>
        </w:rPr>
        <w:t xml:space="preserve"> case is supported by the wording of s.83(6) of the 2014 Act</w:t>
      </w:r>
      <w:r w:rsidR="003D3976">
        <w:rPr>
          <w:rFonts w:ascii="Times New Roman" w:hAnsi="Times New Roman" w:cs="Times New Roman"/>
          <w:sz w:val="24"/>
          <w:szCs w:val="24"/>
        </w:rPr>
        <w:t xml:space="preserve"> which states that references to a child “in the area” of a local authority in England do not include a child or young person who is wholly or </w:t>
      </w:r>
      <w:r w:rsidR="00356D06">
        <w:rPr>
          <w:rFonts w:ascii="Times New Roman" w:hAnsi="Times New Roman" w:cs="Times New Roman"/>
          <w:sz w:val="24"/>
          <w:szCs w:val="24"/>
        </w:rPr>
        <w:t>mainly</w:t>
      </w:r>
      <w:r w:rsidR="003D3976">
        <w:rPr>
          <w:rFonts w:ascii="Times New Roman" w:hAnsi="Times New Roman" w:cs="Times New Roman"/>
          <w:sz w:val="24"/>
          <w:szCs w:val="24"/>
        </w:rPr>
        <w:t xml:space="preserve"> resident in the area of a local authority in Wales.</w:t>
      </w:r>
      <w:r w:rsidR="00D30F47">
        <w:rPr>
          <w:rFonts w:ascii="Times New Roman" w:hAnsi="Times New Roman" w:cs="Times New Roman"/>
          <w:sz w:val="24"/>
          <w:szCs w:val="24"/>
        </w:rPr>
        <w:t xml:space="preserve"> The inclusion of “or mainly” is significant</w:t>
      </w:r>
      <w:r w:rsidR="0013625D">
        <w:rPr>
          <w:rFonts w:ascii="Times New Roman" w:hAnsi="Times New Roman" w:cs="Times New Roman"/>
          <w:sz w:val="24"/>
          <w:szCs w:val="24"/>
        </w:rPr>
        <w:t>. If a child is mainly resident in Wales but sometimes resident in England, s.83(6) states that he will be the responsibility of the Welsh local authority.</w:t>
      </w:r>
      <w:r w:rsidR="00B26A4A">
        <w:rPr>
          <w:rFonts w:ascii="Times New Roman" w:hAnsi="Times New Roman" w:cs="Times New Roman"/>
          <w:sz w:val="24"/>
          <w:szCs w:val="24"/>
        </w:rPr>
        <w:t xml:space="preserve"> He will therefore be “in the area of the authority” in Wales for the purposes of the equivalent of s.24</w:t>
      </w:r>
      <w:r w:rsidR="00044314">
        <w:rPr>
          <w:rFonts w:ascii="Times New Roman" w:hAnsi="Times New Roman" w:cs="Times New Roman"/>
          <w:sz w:val="24"/>
          <w:szCs w:val="24"/>
        </w:rPr>
        <w:t xml:space="preserve"> set out in the Additional Learning Needs and Education Tribunal (Wales) Act 2018</w:t>
      </w:r>
      <w:r w:rsidR="00C67822">
        <w:rPr>
          <w:rFonts w:ascii="Times New Roman" w:hAnsi="Times New Roman" w:cs="Times New Roman"/>
          <w:sz w:val="24"/>
          <w:szCs w:val="24"/>
        </w:rPr>
        <w:t>, despite being temporarily absent in England from time to time</w:t>
      </w:r>
      <w:r w:rsidR="007C35BD">
        <w:rPr>
          <w:rFonts w:ascii="Times New Roman" w:hAnsi="Times New Roman" w:cs="Times New Roman"/>
          <w:sz w:val="24"/>
          <w:szCs w:val="24"/>
        </w:rPr>
        <w:t>. I</w:t>
      </w:r>
      <w:r w:rsidR="00C67822">
        <w:rPr>
          <w:rFonts w:ascii="Times New Roman" w:hAnsi="Times New Roman" w:cs="Times New Roman"/>
          <w:sz w:val="24"/>
          <w:szCs w:val="24"/>
        </w:rPr>
        <w:t xml:space="preserve">t would be surprising and inconsistent, as Mr </w:t>
      </w:r>
      <w:r w:rsidR="00451842">
        <w:rPr>
          <w:rFonts w:ascii="Times New Roman" w:hAnsi="Times New Roman" w:cs="Times New Roman"/>
          <w:sz w:val="24"/>
          <w:szCs w:val="24"/>
        </w:rPr>
        <w:t>G</w:t>
      </w:r>
      <w:r w:rsidR="00C67822">
        <w:rPr>
          <w:rFonts w:ascii="Times New Roman" w:hAnsi="Times New Roman" w:cs="Times New Roman"/>
          <w:sz w:val="24"/>
          <w:szCs w:val="24"/>
        </w:rPr>
        <w:t>illie submits, if in the opposite scenario the statutory scheme had the result that a child mainly resident in England but sometimes resident in Wales was not in the English local authority’s area for the purposes of s.24 of the 2014 Act.</w:t>
      </w:r>
      <w:r w:rsidR="00E70910">
        <w:rPr>
          <w:rFonts w:ascii="Times New Roman" w:hAnsi="Times New Roman" w:cs="Times New Roman"/>
          <w:sz w:val="24"/>
          <w:szCs w:val="24"/>
        </w:rPr>
        <w:t xml:space="preserve"> However, this point is </w:t>
      </w:r>
      <w:r w:rsidR="002428E9">
        <w:rPr>
          <w:rFonts w:ascii="Times New Roman" w:hAnsi="Times New Roman" w:cs="Times New Roman"/>
          <w:sz w:val="24"/>
          <w:szCs w:val="24"/>
        </w:rPr>
        <w:t>h</w:t>
      </w:r>
      <w:r w:rsidR="00E70910">
        <w:rPr>
          <w:rFonts w:ascii="Times New Roman" w:hAnsi="Times New Roman" w:cs="Times New Roman"/>
          <w:sz w:val="24"/>
          <w:szCs w:val="24"/>
        </w:rPr>
        <w:t xml:space="preserve">ardly central </w:t>
      </w:r>
      <w:r w:rsidR="002428E9">
        <w:rPr>
          <w:rFonts w:ascii="Times New Roman" w:hAnsi="Times New Roman" w:cs="Times New Roman"/>
          <w:sz w:val="24"/>
          <w:szCs w:val="24"/>
        </w:rPr>
        <w:t>to the Respondents</w:t>
      </w:r>
      <w:r w:rsidR="00451842">
        <w:rPr>
          <w:rFonts w:ascii="Times New Roman" w:hAnsi="Times New Roman" w:cs="Times New Roman"/>
          <w:sz w:val="24"/>
          <w:szCs w:val="24"/>
        </w:rPr>
        <w:t>’</w:t>
      </w:r>
      <w:r w:rsidR="002428E9">
        <w:rPr>
          <w:rFonts w:ascii="Times New Roman" w:hAnsi="Times New Roman" w:cs="Times New Roman"/>
          <w:sz w:val="24"/>
          <w:szCs w:val="24"/>
        </w:rPr>
        <w:t xml:space="preserve"> case.</w:t>
      </w:r>
    </w:p>
    <w:p w14:paraId="7B8C2D54" w14:textId="40844C1D" w:rsidR="00142642" w:rsidRDefault="00D97B94" w:rsidP="00A574EC">
      <w:pPr>
        <w:pStyle w:val="Indent1"/>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I agree with UTJ West that the important features of the present case are that:</w:t>
      </w:r>
    </w:p>
    <w:p w14:paraId="34F48B80" w14:textId="6DE9B607" w:rsidR="00D97B94" w:rsidRDefault="00D97B94" w:rsidP="00A574EC">
      <w:pPr>
        <w:pStyle w:val="Indent1"/>
        <w:spacing w:line="240" w:lineRule="auto"/>
        <w:ind w:left="747" w:firstLine="0"/>
        <w:rPr>
          <w:rFonts w:ascii="Times New Roman" w:hAnsi="Times New Roman" w:cs="Times New Roman"/>
          <w:sz w:val="24"/>
          <w:szCs w:val="24"/>
        </w:rPr>
      </w:pPr>
      <w:r>
        <w:rPr>
          <w:rFonts w:ascii="Times New Roman" w:hAnsi="Times New Roman" w:cs="Times New Roman"/>
          <w:sz w:val="24"/>
          <w:szCs w:val="24"/>
        </w:rPr>
        <w:t>a) the deployment of T’s father to Dubai was for a strictly limited period</w:t>
      </w:r>
      <w:r w:rsidR="0043292D">
        <w:rPr>
          <w:rFonts w:ascii="Times New Roman" w:hAnsi="Times New Roman" w:cs="Times New Roman"/>
          <w:sz w:val="24"/>
          <w:szCs w:val="24"/>
        </w:rPr>
        <w:t xml:space="preserve"> (set at 3 years though in the event he and the family returned after </w:t>
      </w:r>
      <w:r w:rsidR="00EB2B7D">
        <w:rPr>
          <w:rFonts w:ascii="Times New Roman" w:hAnsi="Times New Roman" w:cs="Times New Roman"/>
          <w:sz w:val="24"/>
          <w:szCs w:val="24"/>
        </w:rPr>
        <w:t>2 years)</w:t>
      </w:r>
      <w:r w:rsidR="00D23EB7">
        <w:rPr>
          <w:rFonts w:ascii="Times New Roman" w:hAnsi="Times New Roman" w:cs="Times New Roman"/>
          <w:sz w:val="24"/>
          <w:szCs w:val="24"/>
        </w:rPr>
        <w:t xml:space="preserve"> and the intention was clearly that they would </w:t>
      </w:r>
      <w:r w:rsidR="00EA6B5F">
        <w:rPr>
          <w:rFonts w:ascii="Times New Roman" w:hAnsi="Times New Roman" w:cs="Times New Roman"/>
          <w:sz w:val="24"/>
          <w:szCs w:val="24"/>
        </w:rPr>
        <w:t xml:space="preserve">then </w:t>
      </w:r>
      <w:r w:rsidR="00D23EB7">
        <w:rPr>
          <w:rFonts w:ascii="Times New Roman" w:hAnsi="Times New Roman" w:cs="Times New Roman"/>
          <w:sz w:val="24"/>
          <w:szCs w:val="24"/>
        </w:rPr>
        <w:t>return to Hampshire</w:t>
      </w:r>
      <w:r w:rsidR="004C41C2">
        <w:rPr>
          <w:rFonts w:ascii="Times New Roman" w:hAnsi="Times New Roman" w:cs="Times New Roman"/>
          <w:sz w:val="24"/>
          <w:szCs w:val="24"/>
        </w:rPr>
        <w:t>;</w:t>
      </w:r>
    </w:p>
    <w:p w14:paraId="26CBA98D" w14:textId="708810E0" w:rsidR="00D97B94" w:rsidRDefault="00D97B94" w:rsidP="00A574EC">
      <w:pPr>
        <w:pStyle w:val="Indent1"/>
        <w:spacing w:line="240" w:lineRule="auto"/>
        <w:ind w:left="747" w:firstLine="0"/>
        <w:rPr>
          <w:rFonts w:ascii="Times New Roman" w:hAnsi="Times New Roman" w:cs="Times New Roman"/>
          <w:sz w:val="24"/>
          <w:szCs w:val="24"/>
        </w:rPr>
      </w:pPr>
      <w:r>
        <w:rPr>
          <w:rFonts w:ascii="Times New Roman" w:hAnsi="Times New Roman" w:cs="Times New Roman"/>
          <w:sz w:val="24"/>
          <w:szCs w:val="24"/>
        </w:rPr>
        <w:t xml:space="preserve">b) the </w:t>
      </w:r>
      <w:r w:rsidR="0076614D">
        <w:rPr>
          <w:rFonts w:ascii="Times New Roman" w:hAnsi="Times New Roman" w:cs="Times New Roman"/>
          <w:sz w:val="24"/>
          <w:szCs w:val="24"/>
        </w:rPr>
        <w:t>parents</w:t>
      </w:r>
      <w:r>
        <w:rPr>
          <w:rFonts w:ascii="Times New Roman" w:hAnsi="Times New Roman" w:cs="Times New Roman"/>
          <w:sz w:val="24"/>
          <w:szCs w:val="24"/>
        </w:rPr>
        <w:t xml:space="preserve"> </w:t>
      </w:r>
      <w:r w:rsidR="00FC731E">
        <w:rPr>
          <w:rFonts w:ascii="Times New Roman" w:hAnsi="Times New Roman" w:cs="Times New Roman"/>
          <w:sz w:val="24"/>
          <w:szCs w:val="24"/>
        </w:rPr>
        <w:t xml:space="preserve">retained </w:t>
      </w:r>
      <w:r w:rsidR="0076614D">
        <w:rPr>
          <w:rFonts w:ascii="Times New Roman" w:hAnsi="Times New Roman" w:cs="Times New Roman"/>
          <w:sz w:val="24"/>
          <w:szCs w:val="24"/>
        </w:rPr>
        <w:t xml:space="preserve">ownership </w:t>
      </w:r>
      <w:r w:rsidR="00D306F8">
        <w:rPr>
          <w:rFonts w:ascii="Times New Roman" w:hAnsi="Times New Roman" w:cs="Times New Roman"/>
          <w:sz w:val="24"/>
          <w:szCs w:val="24"/>
        </w:rPr>
        <w:t xml:space="preserve">of </w:t>
      </w:r>
      <w:r w:rsidR="00FC731E">
        <w:rPr>
          <w:rFonts w:ascii="Times New Roman" w:hAnsi="Times New Roman" w:cs="Times New Roman"/>
          <w:sz w:val="24"/>
          <w:szCs w:val="24"/>
        </w:rPr>
        <w:t xml:space="preserve">their home in </w:t>
      </w:r>
      <w:r w:rsidR="00C25D63">
        <w:rPr>
          <w:rFonts w:ascii="Times New Roman" w:hAnsi="Times New Roman" w:cs="Times New Roman"/>
          <w:sz w:val="24"/>
          <w:szCs w:val="24"/>
        </w:rPr>
        <w:t>Fareham</w:t>
      </w:r>
      <w:r w:rsidR="00FC731E">
        <w:rPr>
          <w:rFonts w:ascii="Times New Roman" w:hAnsi="Times New Roman" w:cs="Times New Roman"/>
          <w:sz w:val="24"/>
          <w:szCs w:val="24"/>
        </w:rPr>
        <w:t>, Hampshire</w:t>
      </w:r>
      <w:r w:rsidR="005A3DBC">
        <w:rPr>
          <w:rFonts w:ascii="Times New Roman" w:hAnsi="Times New Roman" w:cs="Times New Roman"/>
          <w:sz w:val="24"/>
          <w:szCs w:val="24"/>
        </w:rPr>
        <w:t xml:space="preserve">, </w:t>
      </w:r>
      <w:r w:rsidR="00FC731E">
        <w:rPr>
          <w:rFonts w:ascii="Times New Roman" w:hAnsi="Times New Roman" w:cs="Times New Roman"/>
          <w:sz w:val="24"/>
          <w:szCs w:val="24"/>
        </w:rPr>
        <w:t>although they rented it out;</w:t>
      </w:r>
    </w:p>
    <w:p w14:paraId="5B01C91D" w14:textId="2EFC55D1" w:rsidR="00FC731E" w:rsidRDefault="00FC731E" w:rsidP="00A574EC">
      <w:pPr>
        <w:pStyle w:val="Indent1"/>
        <w:spacing w:line="240" w:lineRule="auto"/>
        <w:ind w:left="747" w:firstLine="0"/>
        <w:rPr>
          <w:rFonts w:ascii="Times New Roman" w:hAnsi="Times New Roman" w:cs="Times New Roman"/>
          <w:sz w:val="24"/>
          <w:szCs w:val="24"/>
        </w:rPr>
      </w:pPr>
      <w:r>
        <w:rPr>
          <w:rFonts w:ascii="Times New Roman" w:hAnsi="Times New Roman" w:cs="Times New Roman"/>
          <w:sz w:val="24"/>
          <w:szCs w:val="24"/>
        </w:rPr>
        <w:t xml:space="preserve">c) the Royal Navy </w:t>
      </w:r>
      <w:r w:rsidR="00C26EA0">
        <w:rPr>
          <w:rFonts w:ascii="Times New Roman" w:hAnsi="Times New Roman" w:cs="Times New Roman"/>
          <w:sz w:val="24"/>
          <w:szCs w:val="24"/>
        </w:rPr>
        <w:t xml:space="preserve">paid for an annual return flight for GC and his family from Dubai to England to help them maintain contact </w:t>
      </w:r>
      <w:r w:rsidR="005B6D16">
        <w:rPr>
          <w:rFonts w:ascii="Times New Roman" w:hAnsi="Times New Roman" w:cs="Times New Roman"/>
          <w:sz w:val="24"/>
          <w:szCs w:val="24"/>
        </w:rPr>
        <w:t>with relatives in England.</w:t>
      </w:r>
    </w:p>
    <w:p w14:paraId="3BB7AB96" w14:textId="06A424C3" w:rsidR="00411A41" w:rsidRDefault="00411A41" w:rsidP="00A574EC">
      <w:pPr>
        <w:pStyle w:val="Indent1"/>
        <w:spacing w:line="240" w:lineRule="auto"/>
        <w:ind w:firstLine="0"/>
        <w:rPr>
          <w:rFonts w:ascii="Times New Roman" w:hAnsi="Times New Roman" w:cs="Times New Roman"/>
          <w:sz w:val="24"/>
          <w:szCs w:val="24"/>
        </w:rPr>
      </w:pPr>
      <w:r>
        <w:rPr>
          <w:rFonts w:ascii="Times New Roman" w:hAnsi="Times New Roman" w:cs="Times New Roman"/>
          <w:sz w:val="24"/>
          <w:szCs w:val="24"/>
        </w:rPr>
        <w:t>On these facts</w:t>
      </w:r>
      <w:r w:rsidR="00C42B93">
        <w:rPr>
          <w:rFonts w:ascii="Times New Roman" w:hAnsi="Times New Roman" w:cs="Times New Roman"/>
          <w:sz w:val="24"/>
          <w:szCs w:val="24"/>
        </w:rPr>
        <w:t xml:space="preserve"> the </w:t>
      </w:r>
      <w:r w:rsidR="00D054BB">
        <w:rPr>
          <w:rFonts w:ascii="Times New Roman" w:hAnsi="Times New Roman" w:cs="Times New Roman"/>
          <w:sz w:val="24"/>
          <w:szCs w:val="24"/>
        </w:rPr>
        <w:t>UT was right to hold that T remained ord</w:t>
      </w:r>
      <w:r w:rsidR="002E5640">
        <w:rPr>
          <w:rFonts w:ascii="Times New Roman" w:hAnsi="Times New Roman" w:cs="Times New Roman"/>
          <w:sz w:val="24"/>
          <w:szCs w:val="24"/>
        </w:rPr>
        <w:t>inarily resident in Hampshire.</w:t>
      </w:r>
    </w:p>
    <w:p w14:paraId="6DB836EB" w14:textId="35CC6EAE" w:rsidR="00555496" w:rsidRPr="006A1016" w:rsidRDefault="00BB61B9" w:rsidP="00A574EC">
      <w:pPr>
        <w:pStyle w:val="Indent1"/>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Not every move </w:t>
      </w:r>
      <w:r w:rsidR="00903AE8">
        <w:rPr>
          <w:rFonts w:ascii="Times New Roman" w:hAnsi="Times New Roman" w:cs="Times New Roman"/>
          <w:sz w:val="24"/>
          <w:szCs w:val="24"/>
        </w:rPr>
        <w:t xml:space="preserve">of a family abroad will have a factual background pointing to </w:t>
      </w:r>
      <w:r w:rsidR="009431A6">
        <w:rPr>
          <w:rFonts w:ascii="Times New Roman" w:hAnsi="Times New Roman" w:cs="Times New Roman"/>
          <w:sz w:val="24"/>
          <w:szCs w:val="24"/>
        </w:rPr>
        <w:t xml:space="preserve">a child’s </w:t>
      </w:r>
      <w:r w:rsidR="00903AE8">
        <w:rPr>
          <w:rFonts w:ascii="Times New Roman" w:hAnsi="Times New Roman" w:cs="Times New Roman"/>
          <w:sz w:val="24"/>
          <w:szCs w:val="24"/>
        </w:rPr>
        <w:t xml:space="preserve">ordinary </w:t>
      </w:r>
      <w:r w:rsidR="00511C5D">
        <w:rPr>
          <w:rFonts w:ascii="Times New Roman" w:hAnsi="Times New Roman" w:cs="Times New Roman"/>
          <w:sz w:val="24"/>
          <w:szCs w:val="24"/>
        </w:rPr>
        <w:t xml:space="preserve">residence remaining </w:t>
      </w:r>
      <w:r w:rsidR="00A169CF">
        <w:rPr>
          <w:rFonts w:ascii="Times New Roman" w:hAnsi="Times New Roman" w:cs="Times New Roman"/>
          <w:sz w:val="24"/>
          <w:szCs w:val="24"/>
        </w:rPr>
        <w:t xml:space="preserve">in an English local authority. </w:t>
      </w:r>
      <w:r w:rsidR="00A65B0D">
        <w:rPr>
          <w:rFonts w:ascii="Times New Roman" w:hAnsi="Times New Roman" w:cs="Times New Roman"/>
          <w:sz w:val="24"/>
          <w:szCs w:val="24"/>
        </w:rPr>
        <w:t xml:space="preserve"> </w:t>
      </w:r>
      <w:r w:rsidR="00AB0C10">
        <w:rPr>
          <w:rFonts w:ascii="Times New Roman" w:hAnsi="Times New Roman" w:cs="Times New Roman"/>
          <w:sz w:val="24"/>
          <w:szCs w:val="24"/>
        </w:rPr>
        <w:t xml:space="preserve">If </w:t>
      </w:r>
      <w:r w:rsidR="00A65B0D">
        <w:rPr>
          <w:rFonts w:ascii="Times New Roman" w:hAnsi="Times New Roman" w:cs="Times New Roman"/>
          <w:sz w:val="24"/>
          <w:szCs w:val="24"/>
        </w:rPr>
        <w:t xml:space="preserve">a family </w:t>
      </w:r>
      <w:r w:rsidR="006B2027">
        <w:rPr>
          <w:rFonts w:ascii="Times New Roman" w:hAnsi="Times New Roman" w:cs="Times New Roman"/>
          <w:sz w:val="24"/>
          <w:szCs w:val="24"/>
        </w:rPr>
        <w:t>relinquish ownership</w:t>
      </w:r>
      <w:r w:rsidR="0036062D">
        <w:rPr>
          <w:rFonts w:ascii="Times New Roman" w:hAnsi="Times New Roman" w:cs="Times New Roman"/>
          <w:sz w:val="24"/>
          <w:szCs w:val="24"/>
        </w:rPr>
        <w:t xml:space="preserve"> </w:t>
      </w:r>
      <w:r w:rsidR="00364206">
        <w:rPr>
          <w:rFonts w:ascii="Times New Roman" w:hAnsi="Times New Roman" w:cs="Times New Roman"/>
          <w:sz w:val="24"/>
          <w:szCs w:val="24"/>
        </w:rPr>
        <w:t xml:space="preserve">or the tenancy of </w:t>
      </w:r>
      <w:r w:rsidR="00A65B0D">
        <w:rPr>
          <w:rFonts w:ascii="Times New Roman" w:hAnsi="Times New Roman" w:cs="Times New Roman"/>
          <w:sz w:val="24"/>
          <w:szCs w:val="24"/>
        </w:rPr>
        <w:t xml:space="preserve">their home in England and move </w:t>
      </w:r>
      <w:r w:rsidR="00444AEC">
        <w:rPr>
          <w:rFonts w:ascii="Times New Roman" w:hAnsi="Times New Roman" w:cs="Times New Roman"/>
          <w:sz w:val="24"/>
          <w:szCs w:val="24"/>
        </w:rPr>
        <w:t>abroad together beca</w:t>
      </w:r>
      <w:r w:rsidR="00156832">
        <w:rPr>
          <w:rFonts w:ascii="Times New Roman" w:hAnsi="Times New Roman" w:cs="Times New Roman"/>
          <w:sz w:val="24"/>
          <w:szCs w:val="24"/>
        </w:rPr>
        <w:t xml:space="preserve">use one of the </w:t>
      </w:r>
      <w:r w:rsidR="00444AEC">
        <w:rPr>
          <w:rFonts w:ascii="Times New Roman" w:hAnsi="Times New Roman" w:cs="Times New Roman"/>
          <w:sz w:val="24"/>
          <w:szCs w:val="24"/>
        </w:rPr>
        <w:t>parent</w:t>
      </w:r>
      <w:r w:rsidR="00156832">
        <w:rPr>
          <w:rFonts w:ascii="Times New Roman" w:hAnsi="Times New Roman" w:cs="Times New Roman"/>
          <w:sz w:val="24"/>
          <w:szCs w:val="24"/>
        </w:rPr>
        <w:t xml:space="preserve">s </w:t>
      </w:r>
      <w:r w:rsidR="00CE2F4B">
        <w:rPr>
          <w:rFonts w:ascii="Times New Roman" w:hAnsi="Times New Roman" w:cs="Times New Roman"/>
          <w:sz w:val="24"/>
          <w:szCs w:val="24"/>
        </w:rPr>
        <w:t>has obtained a permanent job abroad</w:t>
      </w:r>
      <w:r w:rsidR="00AA6F48">
        <w:rPr>
          <w:rFonts w:ascii="Times New Roman" w:hAnsi="Times New Roman" w:cs="Times New Roman"/>
          <w:sz w:val="24"/>
          <w:szCs w:val="24"/>
        </w:rPr>
        <w:t>,</w:t>
      </w:r>
      <w:r w:rsidR="00CE2F4B">
        <w:rPr>
          <w:rFonts w:ascii="Times New Roman" w:hAnsi="Times New Roman" w:cs="Times New Roman"/>
          <w:sz w:val="24"/>
          <w:szCs w:val="24"/>
        </w:rPr>
        <w:t xml:space="preserve"> it may be </w:t>
      </w:r>
      <w:r w:rsidR="00A60B2F">
        <w:rPr>
          <w:rFonts w:ascii="Times New Roman" w:hAnsi="Times New Roman" w:cs="Times New Roman"/>
          <w:sz w:val="24"/>
          <w:szCs w:val="24"/>
        </w:rPr>
        <w:t xml:space="preserve">very </w:t>
      </w:r>
      <w:r w:rsidR="00CE2F4B">
        <w:rPr>
          <w:rFonts w:ascii="Times New Roman" w:hAnsi="Times New Roman" w:cs="Times New Roman"/>
          <w:sz w:val="24"/>
          <w:szCs w:val="24"/>
        </w:rPr>
        <w:t xml:space="preserve">difficult to </w:t>
      </w:r>
      <w:r w:rsidR="006A1016">
        <w:rPr>
          <w:rFonts w:ascii="Times New Roman" w:hAnsi="Times New Roman" w:cs="Times New Roman"/>
          <w:sz w:val="24"/>
          <w:szCs w:val="24"/>
        </w:rPr>
        <w:t xml:space="preserve">argue </w:t>
      </w:r>
      <w:r w:rsidR="00E372A3">
        <w:rPr>
          <w:rFonts w:ascii="Times New Roman" w:hAnsi="Times New Roman" w:cs="Times New Roman"/>
          <w:sz w:val="24"/>
          <w:szCs w:val="24"/>
        </w:rPr>
        <w:t xml:space="preserve">successfully </w:t>
      </w:r>
      <w:r w:rsidR="00CE2F4B">
        <w:rPr>
          <w:rFonts w:ascii="Times New Roman" w:hAnsi="Times New Roman" w:cs="Times New Roman"/>
          <w:sz w:val="24"/>
          <w:szCs w:val="24"/>
        </w:rPr>
        <w:t>that the child remains ordinarily resident in England</w:t>
      </w:r>
      <w:r w:rsidR="00156832">
        <w:rPr>
          <w:rFonts w:ascii="Times New Roman" w:hAnsi="Times New Roman" w:cs="Times New Roman"/>
          <w:sz w:val="24"/>
          <w:szCs w:val="24"/>
        </w:rPr>
        <w:t xml:space="preserve"> for s</w:t>
      </w:r>
      <w:r w:rsidR="004C41C2">
        <w:rPr>
          <w:rFonts w:ascii="Times New Roman" w:hAnsi="Times New Roman" w:cs="Times New Roman"/>
          <w:sz w:val="24"/>
          <w:szCs w:val="24"/>
        </w:rPr>
        <w:t>.</w:t>
      </w:r>
      <w:r w:rsidR="00156832">
        <w:rPr>
          <w:rFonts w:ascii="Times New Roman" w:hAnsi="Times New Roman" w:cs="Times New Roman"/>
          <w:sz w:val="24"/>
          <w:szCs w:val="24"/>
        </w:rPr>
        <w:t>24 purposes</w:t>
      </w:r>
      <w:r w:rsidR="00CE2F4B">
        <w:rPr>
          <w:rFonts w:ascii="Times New Roman" w:hAnsi="Times New Roman" w:cs="Times New Roman"/>
          <w:sz w:val="24"/>
          <w:szCs w:val="24"/>
        </w:rPr>
        <w:t>.</w:t>
      </w:r>
      <w:r w:rsidR="00EB3757">
        <w:rPr>
          <w:rFonts w:ascii="Times New Roman" w:hAnsi="Times New Roman" w:cs="Times New Roman"/>
          <w:sz w:val="24"/>
          <w:szCs w:val="24"/>
        </w:rPr>
        <w:t xml:space="preserve"> </w:t>
      </w:r>
      <w:r w:rsidR="001731FE">
        <w:rPr>
          <w:rFonts w:ascii="Times New Roman" w:hAnsi="Times New Roman" w:cs="Times New Roman"/>
          <w:sz w:val="24"/>
          <w:szCs w:val="24"/>
        </w:rPr>
        <w:t xml:space="preserve">Less straightforward may be </w:t>
      </w:r>
      <w:r w:rsidR="002B5CC3">
        <w:rPr>
          <w:rFonts w:ascii="Times New Roman" w:hAnsi="Times New Roman" w:cs="Times New Roman"/>
          <w:sz w:val="24"/>
          <w:szCs w:val="24"/>
        </w:rPr>
        <w:t>a</w:t>
      </w:r>
      <w:r w:rsidR="00A169CF">
        <w:rPr>
          <w:rFonts w:ascii="Times New Roman" w:hAnsi="Times New Roman" w:cs="Times New Roman"/>
          <w:sz w:val="24"/>
          <w:szCs w:val="24"/>
        </w:rPr>
        <w:t xml:space="preserve"> situation </w:t>
      </w:r>
      <w:r w:rsidR="002B5CC3">
        <w:rPr>
          <w:rFonts w:ascii="Times New Roman" w:hAnsi="Times New Roman" w:cs="Times New Roman"/>
          <w:sz w:val="24"/>
          <w:szCs w:val="24"/>
        </w:rPr>
        <w:t xml:space="preserve">where the family move for </w:t>
      </w:r>
      <w:r w:rsidR="005A5829">
        <w:rPr>
          <w:rFonts w:ascii="Times New Roman" w:hAnsi="Times New Roman" w:cs="Times New Roman"/>
          <w:sz w:val="24"/>
          <w:szCs w:val="24"/>
        </w:rPr>
        <w:t xml:space="preserve">what is intended to be </w:t>
      </w:r>
      <w:r w:rsidR="002B5CC3">
        <w:rPr>
          <w:rFonts w:ascii="Times New Roman" w:hAnsi="Times New Roman" w:cs="Times New Roman"/>
          <w:sz w:val="24"/>
          <w:szCs w:val="24"/>
        </w:rPr>
        <w:t>a trial period</w:t>
      </w:r>
      <w:r w:rsidR="00D63D0D">
        <w:rPr>
          <w:rFonts w:ascii="Times New Roman" w:hAnsi="Times New Roman" w:cs="Times New Roman"/>
          <w:sz w:val="24"/>
          <w:szCs w:val="24"/>
        </w:rPr>
        <w:t>. A</w:t>
      </w:r>
      <w:r w:rsidR="005A5829">
        <w:rPr>
          <w:rFonts w:ascii="Times New Roman" w:hAnsi="Times New Roman" w:cs="Times New Roman"/>
          <w:sz w:val="24"/>
          <w:szCs w:val="24"/>
        </w:rPr>
        <w:t xml:space="preserve">s time </w:t>
      </w:r>
      <w:r w:rsidR="00E14EE9">
        <w:rPr>
          <w:rFonts w:ascii="Times New Roman" w:hAnsi="Times New Roman" w:cs="Times New Roman"/>
          <w:sz w:val="24"/>
          <w:szCs w:val="24"/>
        </w:rPr>
        <w:t xml:space="preserve">then </w:t>
      </w:r>
      <w:r w:rsidR="005A5829">
        <w:rPr>
          <w:rFonts w:ascii="Times New Roman" w:hAnsi="Times New Roman" w:cs="Times New Roman"/>
          <w:sz w:val="24"/>
          <w:szCs w:val="24"/>
        </w:rPr>
        <w:t xml:space="preserve">passes, </w:t>
      </w:r>
      <w:r w:rsidR="003F6DFD">
        <w:rPr>
          <w:rFonts w:ascii="Times New Roman" w:hAnsi="Times New Roman" w:cs="Times New Roman"/>
          <w:sz w:val="24"/>
          <w:szCs w:val="24"/>
        </w:rPr>
        <w:t xml:space="preserve">it will be increasingly difficult to argue that the child remains </w:t>
      </w:r>
      <w:r w:rsidR="00D63D0D">
        <w:rPr>
          <w:rFonts w:ascii="Times New Roman" w:hAnsi="Times New Roman" w:cs="Times New Roman"/>
          <w:sz w:val="24"/>
          <w:szCs w:val="24"/>
        </w:rPr>
        <w:t>ordinarily</w:t>
      </w:r>
      <w:r w:rsidR="003F6DFD">
        <w:rPr>
          <w:rFonts w:ascii="Times New Roman" w:hAnsi="Times New Roman" w:cs="Times New Roman"/>
          <w:sz w:val="24"/>
          <w:szCs w:val="24"/>
        </w:rPr>
        <w:t xml:space="preserve"> resident in the area</w:t>
      </w:r>
      <w:r w:rsidR="004E3173">
        <w:rPr>
          <w:rFonts w:ascii="Times New Roman" w:hAnsi="Times New Roman" w:cs="Times New Roman"/>
          <w:sz w:val="24"/>
          <w:szCs w:val="24"/>
        </w:rPr>
        <w:t>.</w:t>
      </w:r>
      <w:r w:rsidR="003F6DFD">
        <w:rPr>
          <w:rFonts w:ascii="Times New Roman" w:hAnsi="Times New Roman" w:cs="Times New Roman"/>
          <w:sz w:val="24"/>
          <w:szCs w:val="24"/>
        </w:rPr>
        <w:t xml:space="preserve"> </w:t>
      </w:r>
      <w:r w:rsidR="00EB3757">
        <w:rPr>
          <w:rFonts w:ascii="Times New Roman" w:hAnsi="Times New Roman" w:cs="Times New Roman"/>
          <w:sz w:val="24"/>
          <w:szCs w:val="24"/>
        </w:rPr>
        <w:t>Such cases will have to be considered on the facts as and when they arise.</w:t>
      </w:r>
    </w:p>
    <w:p w14:paraId="5E73D19D" w14:textId="4C553474" w:rsidR="00657CE4" w:rsidRDefault="00657CE4" w:rsidP="00A574EC">
      <w:pPr>
        <w:pStyle w:val="Indent1"/>
        <w:spacing w:line="240" w:lineRule="auto"/>
        <w:ind w:left="0" w:firstLine="0"/>
        <w:rPr>
          <w:rFonts w:ascii="Times New Roman" w:hAnsi="Times New Roman" w:cs="Times New Roman"/>
          <w:sz w:val="24"/>
          <w:szCs w:val="24"/>
        </w:rPr>
      </w:pPr>
      <w:r>
        <w:rPr>
          <w:rFonts w:ascii="Times New Roman" w:hAnsi="Times New Roman" w:cs="Times New Roman"/>
          <w:i/>
          <w:iCs/>
          <w:sz w:val="24"/>
          <w:szCs w:val="24"/>
        </w:rPr>
        <w:t xml:space="preserve">Ground 3: The </w:t>
      </w:r>
      <w:r w:rsidR="008C1840">
        <w:rPr>
          <w:rFonts w:ascii="Times New Roman" w:hAnsi="Times New Roman" w:cs="Times New Roman"/>
          <w:i/>
          <w:iCs/>
          <w:sz w:val="24"/>
          <w:szCs w:val="24"/>
        </w:rPr>
        <w:t>implementation question</w:t>
      </w:r>
    </w:p>
    <w:p w14:paraId="4104734E" w14:textId="55BD7A19" w:rsidR="00D97B94" w:rsidRDefault="008C1840" w:rsidP="00A574EC">
      <w:pPr>
        <w:pStyle w:val="Indent1"/>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This can be dealt with briefly.</w:t>
      </w:r>
      <w:r w:rsidR="00C6693E">
        <w:rPr>
          <w:rFonts w:ascii="Times New Roman" w:hAnsi="Times New Roman" w:cs="Times New Roman"/>
          <w:sz w:val="24"/>
          <w:szCs w:val="24"/>
        </w:rPr>
        <w:t xml:space="preserve"> </w:t>
      </w:r>
      <w:r w:rsidR="00C6693E" w:rsidRPr="00C6693E">
        <w:rPr>
          <w:rFonts w:ascii="Times New Roman" w:hAnsi="Times New Roman" w:cs="Times New Roman"/>
          <w:sz w:val="24"/>
          <w:szCs w:val="24"/>
        </w:rPr>
        <w:t xml:space="preserve">The statutory scheme contains two mechanisms by which a local authority may maintain an EHCP even if the provision specified within it cannot, or need not, be implemented. Section 45(5) </w:t>
      </w:r>
      <w:r w:rsidR="00476ED3">
        <w:rPr>
          <w:rFonts w:ascii="Times New Roman" w:hAnsi="Times New Roman" w:cs="Times New Roman"/>
          <w:sz w:val="24"/>
          <w:szCs w:val="24"/>
        </w:rPr>
        <w:t xml:space="preserve">of the 2014 Act </w:t>
      </w:r>
      <w:r w:rsidR="00C6693E" w:rsidRPr="00C6693E">
        <w:rPr>
          <w:rFonts w:ascii="Times New Roman" w:hAnsi="Times New Roman" w:cs="Times New Roman"/>
          <w:sz w:val="24"/>
          <w:szCs w:val="24"/>
        </w:rPr>
        <w:t xml:space="preserve">allows a local authority to maintain an EHCP without implementing its contents where parents arrange alternative provision </w:t>
      </w:r>
      <w:r w:rsidR="00476ED3">
        <w:rPr>
          <w:rFonts w:ascii="Times New Roman" w:hAnsi="Times New Roman" w:cs="Times New Roman"/>
          <w:sz w:val="24"/>
          <w:szCs w:val="24"/>
        </w:rPr>
        <w:t>which</w:t>
      </w:r>
      <w:r w:rsidR="00C6693E" w:rsidRPr="00C6693E">
        <w:rPr>
          <w:rFonts w:ascii="Times New Roman" w:hAnsi="Times New Roman" w:cs="Times New Roman"/>
          <w:sz w:val="24"/>
          <w:szCs w:val="24"/>
        </w:rPr>
        <w:t xml:space="preserve"> the local authority considers suitable. </w:t>
      </w:r>
      <w:r w:rsidR="000D1460">
        <w:rPr>
          <w:rFonts w:ascii="Times New Roman" w:hAnsi="Times New Roman" w:cs="Times New Roman"/>
          <w:sz w:val="24"/>
          <w:szCs w:val="24"/>
        </w:rPr>
        <w:t>A</w:t>
      </w:r>
      <w:r w:rsidR="00C6693E" w:rsidRPr="00C6693E">
        <w:rPr>
          <w:rFonts w:ascii="Times New Roman" w:hAnsi="Times New Roman" w:cs="Times New Roman"/>
          <w:sz w:val="24"/>
          <w:szCs w:val="24"/>
        </w:rPr>
        <w:t xml:space="preserve"> local authority </w:t>
      </w:r>
      <w:r w:rsidR="000D1460">
        <w:rPr>
          <w:rFonts w:ascii="Times New Roman" w:hAnsi="Times New Roman" w:cs="Times New Roman"/>
          <w:sz w:val="24"/>
          <w:szCs w:val="24"/>
        </w:rPr>
        <w:t xml:space="preserve">also </w:t>
      </w:r>
      <w:r w:rsidR="00C6693E" w:rsidRPr="00C6693E">
        <w:rPr>
          <w:rFonts w:ascii="Times New Roman" w:hAnsi="Times New Roman" w:cs="Times New Roman"/>
          <w:sz w:val="24"/>
          <w:szCs w:val="24"/>
        </w:rPr>
        <w:t>has a power to reassess what provision is necessary in an EHCP under s.44(3)</w:t>
      </w:r>
      <w:r w:rsidR="004E3173">
        <w:rPr>
          <w:rFonts w:ascii="Times New Roman" w:hAnsi="Times New Roman" w:cs="Times New Roman"/>
          <w:sz w:val="24"/>
          <w:szCs w:val="24"/>
        </w:rPr>
        <w:t xml:space="preserve"> of the 2014 Act</w:t>
      </w:r>
      <w:r w:rsidR="00E861AF">
        <w:rPr>
          <w:rFonts w:ascii="Times New Roman" w:hAnsi="Times New Roman" w:cs="Times New Roman"/>
          <w:sz w:val="24"/>
          <w:szCs w:val="24"/>
        </w:rPr>
        <w:t>.</w:t>
      </w:r>
      <w:r w:rsidR="00C6693E" w:rsidRPr="00C6693E">
        <w:rPr>
          <w:rFonts w:ascii="Times New Roman" w:hAnsi="Times New Roman" w:cs="Times New Roman"/>
          <w:sz w:val="24"/>
          <w:szCs w:val="24"/>
        </w:rPr>
        <w:t xml:space="preserve"> Where a child is temporarily abroad such that current EHC provision cannot be implemented, there is nothing to stop a local authority from amending the contents of an EHCP to reflect a change in what is necessary</w:t>
      </w:r>
      <w:r w:rsidR="00977A2B">
        <w:rPr>
          <w:rFonts w:ascii="Times New Roman" w:hAnsi="Times New Roman" w:cs="Times New Roman"/>
          <w:sz w:val="24"/>
          <w:szCs w:val="24"/>
        </w:rPr>
        <w:t xml:space="preserve"> for the child</w:t>
      </w:r>
      <w:r w:rsidR="00E6378E">
        <w:rPr>
          <w:rFonts w:ascii="Times New Roman" w:hAnsi="Times New Roman" w:cs="Times New Roman"/>
          <w:sz w:val="24"/>
          <w:szCs w:val="24"/>
        </w:rPr>
        <w:t xml:space="preserve">; but that does not justify </w:t>
      </w:r>
      <w:r w:rsidR="00C6693E" w:rsidRPr="00C6693E">
        <w:rPr>
          <w:rFonts w:ascii="Times New Roman" w:hAnsi="Times New Roman" w:cs="Times New Roman"/>
          <w:sz w:val="24"/>
          <w:szCs w:val="24"/>
        </w:rPr>
        <w:t xml:space="preserve">ceasing to maintain the EHCP. Here, </w:t>
      </w:r>
      <w:r w:rsidR="00B362A4">
        <w:rPr>
          <w:rFonts w:ascii="Times New Roman" w:hAnsi="Times New Roman" w:cs="Times New Roman"/>
          <w:sz w:val="24"/>
          <w:szCs w:val="24"/>
        </w:rPr>
        <w:t xml:space="preserve">suitable </w:t>
      </w:r>
      <w:r w:rsidR="00C6693E" w:rsidRPr="00C6693E">
        <w:rPr>
          <w:rFonts w:ascii="Times New Roman" w:hAnsi="Times New Roman" w:cs="Times New Roman"/>
          <w:sz w:val="24"/>
          <w:szCs w:val="24"/>
        </w:rPr>
        <w:t xml:space="preserve">alternative provision was found by the Respondents, facilitated by the Ministry of Defence. The </w:t>
      </w:r>
      <w:r w:rsidR="005F6C65">
        <w:rPr>
          <w:rFonts w:ascii="Times New Roman" w:hAnsi="Times New Roman" w:cs="Times New Roman"/>
          <w:sz w:val="24"/>
          <w:szCs w:val="24"/>
        </w:rPr>
        <w:t>Counci</w:t>
      </w:r>
      <w:r w:rsidR="00C443EC">
        <w:rPr>
          <w:rFonts w:ascii="Times New Roman" w:hAnsi="Times New Roman" w:cs="Times New Roman"/>
          <w:sz w:val="24"/>
          <w:szCs w:val="24"/>
        </w:rPr>
        <w:t>l, b</w:t>
      </w:r>
      <w:r w:rsidR="005F6C65">
        <w:rPr>
          <w:rFonts w:ascii="Times New Roman" w:hAnsi="Times New Roman" w:cs="Times New Roman"/>
          <w:sz w:val="24"/>
          <w:szCs w:val="24"/>
        </w:rPr>
        <w:t>ecause of the</w:t>
      </w:r>
      <w:r w:rsidR="00C443EC">
        <w:rPr>
          <w:rFonts w:ascii="Times New Roman" w:hAnsi="Times New Roman" w:cs="Times New Roman"/>
          <w:sz w:val="24"/>
          <w:szCs w:val="24"/>
        </w:rPr>
        <w:t>ir</w:t>
      </w:r>
      <w:r w:rsidR="005F6C65">
        <w:rPr>
          <w:rFonts w:ascii="Times New Roman" w:hAnsi="Times New Roman" w:cs="Times New Roman"/>
          <w:sz w:val="24"/>
          <w:szCs w:val="24"/>
        </w:rPr>
        <w:t xml:space="preserve"> failure to consult</w:t>
      </w:r>
      <w:r w:rsidR="00026F38">
        <w:rPr>
          <w:rFonts w:ascii="Times New Roman" w:hAnsi="Times New Roman" w:cs="Times New Roman"/>
          <w:sz w:val="24"/>
          <w:szCs w:val="24"/>
        </w:rPr>
        <w:t xml:space="preserve"> as they should have done</w:t>
      </w:r>
      <w:r w:rsidR="005F6C65">
        <w:rPr>
          <w:rFonts w:ascii="Times New Roman" w:hAnsi="Times New Roman" w:cs="Times New Roman"/>
          <w:sz w:val="24"/>
          <w:szCs w:val="24"/>
        </w:rPr>
        <w:t>, were unaware of this</w:t>
      </w:r>
      <w:r w:rsidR="00026F38">
        <w:rPr>
          <w:rFonts w:ascii="Times New Roman" w:hAnsi="Times New Roman" w:cs="Times New Roman"/>
          <w:sz w:val="24"/>
          <w:szCs w:val="24"/>
        </w:rPr>
        <w:t xml:space="preserve">. But </w:t>
      </w:r>
      <w:r w:rsidR="00830048">
        <w:rPr>
          <w:rFonts w:ascii="Times New Roman" w:hAnsi="Times New Roman" w:cs="Times New Roman"/>
          <w:sz w:val="24"/>
          <w:szCs w:val="24"/>
        </w:rPr>
        <w:t xml:space="preserve">if they had made proper enquiries they could quite properly have </w:t>
      </w:r>
      <w:r w:rsidR="00271D6F">
        <w:rPr>
          <w:rFonts w:ascii="Times New Roman" w:hAnsi="Times New Roman" w:cs="Times New Roman"/>
          <w:sz w:val="24"/>
          <w:szCs w:val="24"/>
        </w:rPr>
        <w:t xml:space="preserve">decided to maintain the </w:t>
      </w:r>
      <w:r w:rsidR="00012C1B">
        <w:rPr>
          <w:rFonts w:ascii="Times New Roman" w:hAnsi="Times New Roman" w:cs="Times New Roman"/>
          <w:sz w:val="24"/>
          <w:szCs w:val="24"/>
        </w:rPr>
        <w:t>EHCP without implementing its contents as s</w:t>
      </w:r>
      <w:r w:rsidR="004E3173">
        <w:rPr>
          <w:rFonts w:ascii="Times New Roman" w:hAnsi="Times New Roman" w:cs="Times New Roman"/>
          <w:sz w:val="24"/>
          <w:szCs w:val="24"/>
        </w:rPr>
        <w:t>.4</w:t>
      </w:r>
      <w:r w:rsidR="00012C1B">
        <w:rPr>
          <w:rFonts w:ascii="Times New Roman" w:hAnsi="Times New Roman" w:cs="Times New Roman"/>
          <w:sz w:val="24"/>
          <w:szCs w:val="24"/>
        </w:rPr>
        <w:t>5(5) permits</w:t>
      </w:r>
      <w:r w:rsidR="00F26212">
        <w:rPr>
          <w:rFonts w:ascii="Times New Roman" w:hAnsi="Times New Roman" w:cs="Times New Roman"/>
          <w:sz w:val="24"/>
          <w:szCs w:val="24"/>
        </w:rPr>
        <w:t>: or, in the apt words of the FTT,</w:t>
      </w:r>
      <w:r w:rsidR="007A34F8">
        <w:rPr>
          <w:rFonts w:ascii="Times New Roman" w:hAnsi="Times New Roman" w:cs="Times New Roman"/>
          <w:sz w:val="24"/>
          <w:szCs w:val="24"/>
        </w:rPr>
        <w:t xml:space="preserve"> effectively </w:t>
      </w:r>
      <w:r w:rsidR="00504C59">
        <w:rPr>
          <w:rFonts w:ascii="Times New Roman" w:hAnsi="Times New Roman" w:cs="Times New Roman"/>
          <w:sz w:val="24"/>
          <w:szCs w:val="24"/>
        </w:rPr>
        <w:t xml:space="preserve">to </w:t>
      </w:r>
      <w:r w:rsidR="00F26212">
        <w:rPr>
          <w:rFonts w:ascii="Times New Roman" w:hAnsi="Times New Roman" w:cs="Times New Roman"/>
          <w:sz w:val="24"/>
          <w:szCs w:val="24"/>
        </w:rPr>
        <w:t xml:space="preserve">“freeze” or “pause” the </w:t>
      </w:r>
      <w:r w:rsidR="007E720E">
        <w:rPr>
          <w:rFonts w:ascii="Times New Roman" w:hAnsi="Times New Roman" w:cs="Times New Roman"/>
          <w:sz w:val="24"/>
          <w:szCs w:val="24"/>
        </w:rPr>
        <w:t>provision of education themselves.</w:t>
      </w:r>
    </w:p>
    <w:p w14:paraId="1AD05725" w14:textId="7F3B33AB" w:rsidR="00C6693E" w:rsidRPr="00C6693E" w:rsidRDefault="00C6693E" w:rsidP="00A574EC">
      <w:pPr>
        <w:pStyle w:val="Indent1"/>
        <w:spacing w:line="240" w:lineRule="auto"/>
        <w:ind w:left="0" w:firstLine="0"/>
        <w:rPr>
          <w:rFonts w:ascii="Times New Roman" w:hAnsi="Times New Roman" w:cs="Times New Roman"/>
          <w:sz w:val="24"/>
          <w:szCs w:val="24"/>
        </w:rPr>
      </w:pPr>
      <w:r>
        <w:rPr>
          <w:rFonts w:ascii="Times New Roman" w:hAnsi="Times New Roman" w:cs="Times New Roman"/>
          <w:i/>
          <w:iCs/>
          <w:sz w:val="24"/>
          <w:szCs w:val="24"/>
        </w:rPr>
        <w:t>Conclusion</w:t>
      </w:r>
    </w:p>
    <w:p w14:paraId="5D14551A" w14:textId="3C6F7B75" w:rsidR="00C6693E" w:rsidRPr="00C6693E" w:rsidRDefault="00C6693E" w:rsidP="00A574EC">
      <w:pPr>
        <w:pStyle w:val="Indent1"/>
        <w:numPr>
          <w:ilvl w:val="0"/>
          <w:numId w:val="11"/>
        </w:numPr>
        <w:spacing w:line="240" w:lineRule="auto"/>
        <w:rPr>
          <w:rFonts w:ascii="Times New Roman" w:hAnsi="Times New Roman" w:cs="Times New Roman"/>
          <w:sz w:val="24"/>
          <w:szCs w:val="24"/>
        </w:rPr>
      </w:pPr>
      <w:r w:rsidRPr="00C6693E">
        <w:rPr>
          <w:rFonts w:ascii="Times New Roman" w:hAnsi="Times New Roman" w:cs="Times New Roman"/>
          <w:sz w:val="24"/>
          <w:szCs w:val="24"/>
        </w:rPr>
        <w:t>I would dismiss this appeal</w:t>
      </w:r>
      <w:r w:rsidR="00A62036">
        <w:rPr>
          <w:rFonts w:ascii="Times New Roman" w:hAnsi="Times New Roman" w:cs="Times New Roman"/>
          <w:sz w:val="24"/>
          <w:szCs w:val="24"/>
        </w:rPr>
        <w:t>. By agreement between the parties there will be no order as to costs.</w:t>
      </w:r>
    </w:p>
    <w:p w14:paraId="6F2E4610" w14:textId="31E134C3" w:rsidR="00C6693E" w:rsidRPr="005A3DBC" w:rsidRDefault="00C6693E" w:rsidP="00A574EC">
      <w:pPr>
        <w:pStyle w:val="Indent1"/>
        <w:spacing w:line="240" w:lineRule="auto"/>
        <w:ind w:left="0" w:firstLine="0"/>
        <w:rPr>
          <w:rFonts w:ascii="Times New Roman" w:hAnsi="Times New Roman" w:cs="Times New Roman"/>
          <w:b/>
          <w:bCs/>
          <w:sz w:val="24"/>
          <w:szCs w:val="24"/>
        </w:rPr>
      </w:pPr>
      <w:r w:rsidRPr="005A3DBC">
        <w:rPr>
          <w:rFonts w:ascii="Times New Roman" w:hAnsi="Times New Roman" w:cs="Times New Roman"/>
          <w:b/>
          <w:bCs/>
          <w:sz w:val="24"/>
          <w:szCs w:val="24"/>
        </w:rPr>
        <w:t>Lady Justice King</w:t>
      </w:r>
    </w:p>
    <w:p w14:paraId="6E9F61EB" w14:textId="597C1F6A" w:rsidR="00C6693E" w:rsidRPr="00C6693E" w:rsidRDefault="006A1016" w:rsidP="00A574EC">
      <w:pPr>
        <w:pStyle w:val="Indent1"/>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I agree.</w:t>
      </w:r>
    </w:p>
    <w:p w14:paraId="34F3AC4F" w14:textId="32072091" w:rsidR="00C6693E" w:rsidRPr="005A3DBC" w:rsidRDefault="00C6693E" w:rsidP="00A574EC">
      <w:pPr>
        <w:pStyle w:val="Indent1"/>
        <w:spacing w:line="240" w:lineRule="auto"/>
        <w:ind w:left="0" w:firstLine="0"/>
        <w:rPr>
          <w:rFonts w:ascii="Times New Roman" w:hAnsi="Times New Roman" w:cs="Times New Roman"/>
          <w:b/>
          <w:bCs/>
          <w:sz w:val="24"/>
          <w:szCs w:val="24"/>
        </w:rPr>
      </w:pPr>
      <w:r w:rsidRPr="005A3DBC">
        <w:rPr>
          <w:rFonts w:ascii="Times New Roman" w:hAnsi="Times New Roman" w:cs="Times New Roman"/>
          <w:b/>
          <w:bCs/>
          <w:sz w:val="24"/>
          <w:szCs w:val="24"/>
        </w:rPr>
        <w:t>Lord Justice Stuart-Smith</w:t>
      </w:r>
    </w:p>
    <w:p w14:paraId="03DD7240" w14:textId="461A2C55" w:rsidR="00C6693E" w:rsidRPr="00C72603" w:rsidRDefault="006A1016" w:rsidP="00A574EC">
      <w:pPr>
        <w:pStyle w:val="Indent1"/>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I also agree.</w:t>
      </w:r>
    </w:p>
    <w:sectPr w:rsidR="00C6693E" w:rsidRPr="00C72603" w:rsidSect="00A574EC">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EE93F" w14:textId="77777777" w:rsidR="00E44954" w:rsidRDefault="00E44954">
      <w:r>
        <w:separator/>
      </w:r>
    </w:p>
  </w:endnote>
  <w:endnote w:type="continuationSeparator" w:id="0">
    <w:p w14:paraId="545CA692" w14:textId="77777777" w:rsidR="00E44954" w:rsidRDefault="00E4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475C0" w14:textId="77777777" w:rsidR="00C439A3" w:rsidRDefault="00C439A3">
    <w:pPr>
      <w:pStyle w:val="Footer"/>
      <w:jc w:val="center"/>
      <w:rPr>
        <w:rFonts w:ascii="Times New Roman" w:hAnsi="Times New Roman"/>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79E71" w14:textId="77777777" w:rsidR="00C439A3" w:rsidRPr="00A574EC" w:rsidRDefault="00C439A3" w:rsidP="00A574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4111B" w14:textId="77777777" w:rsidR="00E44954" w:rsidRDefault="00E44954">
      <w:r>
        <w:separator/>
      </w:r>
    </w:p>
  </w:footnote>
  <w:footnote w:type="continuationSeparator" w:id="0">
    <w:p w14:paraId="5DEAFBB7" w14:textId="77777777" w:rsidR="00E44954" w:rsidRDefault="00E4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4622"/>
      <w:gridCol w:w="4622"/>
    </w:tblGrid>
    <w:tr w:rsidR="00C439A3" w14:paraId="0F967F79" w14:textId="77777777">
      <w:tc>
        <w:tcPr>
          <w:tcW w:w="4622" w:type="dxa"/>
        </w:tcPr>
        <w:p w14:paraId="114CEDF7" w14:textId="6A06A785" w:rsidR="00B91CA7" w:rsidRPr="00A574EC" w:rsidRDefault="00A574EC">
          <w:pPr>
            <w:pStyle w:val="Header"/>
            <w:rPr>
              <w:rFonts w:ascii="Times New Roman" w:hAnsi="Times New Roman"/>
              <w:b/>
              <w:sz w:val="16"/>
              <w:u w:val="single"/>
            </w:rPr>
          </w:pPr>
          <w:r>
            <w:rPr>
              <w:rFonts w:ascii="Times New Roman" w:hAnsi="Times New Roman"/>
              <w:b/>
              <w:sz w:val="16"/>
              <w:u w:val="single"/>
            </w:rPr>
            <w:t>Judgment Approved by the court</w:t>
          </w:r>
        </w:p>
      </w:tc>
      <w:tc>
        <w:tcPr>
          <w:tcW w:w="4622" w:type="dxa"/>
        </w:tcPr>
        <w:p w14:paraId="4F51C8F0" w14:textId="4CC97B13" w:rsidR="00C439A3" w:rsidRDefault="00A42D53">
          <w:pPr>
            <w:pStyle w:val="Header"/>
            <w:jc w:val="right"/>
            <w:rPr>
              <w:rFonts w:ascii="Times New Roman" w:hAnsi="Times New Roman"/>
              <w:sz w:val="16"/>
            </w:rPr>
          </w:pPr>
          <w:r>
            <w:rPr>
              <w:rFonts w:ascii="Times New Roman" w:hAnsi="Times New Roman"/>
              <w:sz w:val="16"/>
            </w:rPr>
            <w:t>Hampshire County Council v GC &amp; Anr</w:t>
          </w:r>
        </w:p>
      </w:tc>
    </w:tr>
  </w:tbl>
  <w:p w14:paraId="1BA50818" w14:textId="77777777" w:rsidR="00C439A3" w:rsidRDefault="00C439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4CCFBD8"/>
    <w:lvl w:ilvl="0">
      <w:start w:val="1"/>
      <w:numFmt w:val="decimal"/>
      <w:lvlText w:val="%1."/>
      <w:lvlJc w:val="left"/>
      <w:pPr>
        <w:tabs>
          <w:tab w:val="num" w:pos="1492"/>
        </w:tabs>
        <w:ind w:left="1492" w:hanging="360"/>
      </w:pPr>
    </w:lvl>
  </w:abstractNum>
  <w:abstractNum w:abstractNumId="1" w15:restartNumberingAfterBreak="0">
    <w:nsid w:val="31095DEF"/>
    <w:multiLevelType w:val="hybridMultilevel"/>
    <w:tmpl w:val="F8987DC8"/>
    <w:lvl w:ilvl="0" w:tplc="20302006">
      <w:start w:val="1"/>
      <w:numFmt w:val="lowerLetter"/>
      <w:lvlText w:val="(%1)"/>
      <w:lvlJc w:val="left"/>
      <w:pPr>
        <w:ind w:left="1386" w:hanging="360"/>
      </w:pPr>
      <w:rPr>
        <w:rFonts w:hint="default"/>
      </w:rPr>
    </w:lvl>
    <w:lvl w:ilvl="1" w:tplc="08090019" w:tentative="1">
      <w:start w:val="1"/>
      <w:numFmt w:val="lowerLetter"/>
      <w:lvlText w:val="%2."/>
      <w:lvlJc w:val="left"/>
      <w:pPr>
        <w:ind w:left="2106" w:hanging="360"/>
      </w:pPr>
    </w:lvl>
    <w:lvl w:ilvl="2" w:tplc="0809001B" w:tentative="1">
      <w:start w:val="1"/>
      <w:numFmt w:val="lowerRoman"/>
      <w:lvlText w:val="%3."/>
      <w:lvlJc w:val="right"/>
      <w:pPr>
        <w:ind w:left="2826" w:hanging="180"/>
      </w:pPr>
    </w:lvl>
    <w:lvl w:ilvl="3" w:tplc="0809000F" w:tentative="1">
      <w:start w:val="1"/>
      <w:numFmt w:val="decimal"/>
      <w:lvlText w:val="%4."/>
      <w:lvlJc w:val="left"/>
      <w:pPr>
        <w:ind w:left="3546" w:hanging="360"/>
      </w:pPr>
    </w:lvl>
    <w:lvl w:ilvl="4" w:tplc="08090019" w:tentative="1">
      <w:start w:val="1"/>
      <w:numFmt w:val="lowerLetter"/>
      <w:lvlText w:val="%5."/>
      <w:lvlJc w:val="left"/>
      <w:pPr>
        <w:ind w:left="4266" w:hanging="360"/>
      </w:pPr>
    </w:lvl>
    <w:lvl w:ilvl="5" w:tplc="0809001B" w:tentative="1">
      <w:start w:val="1"/>
      <w:numFmt w:val="lowerRoman"/>
      <w:lvlText w:val="%6."/>
      <w:lvlJc w:val="right"/>
      <w:pPr>
        <w:ind w:left="4986" w:hanging="180"/>
      </w:pPr>
    </w:lvl>
    <w:lvl w:ilvl="6" w:tplc="0809000F" w:tentative="1">
      <w:start w:val="1"/>
      <w:numFmt w:val="decimal"/>
      <w:lvlText w:val="%7."/>
      <w:lvlJc w:val="left"/>
      <w:pPr>
        <w:ind w:left="5706" w:hanging="360"/>
      </w:pPr>
    </w:lvl>
    <w:lvl w:ilvl="7" w:tplc="08090019" w:tentative="1">
      <w:start w:val="1"/>
      <w:numFmt w:val="lowerLetter"/>
      <w:lvlText w:val="%8."/>
      <w:lvlJc w:val="left"/>
      <w:pPr>
        <w:ind w:left="6426" w:hanging="360"/>
      </w:pPr>
    </w:lvl>
    <w:lvl w:ilvl="8" w:tplc="0809001B" w:tentative="1">
      <w:start w:val="1"/>
      <w:numFmt w:val="lowerRoman"/>
      <w:lvlText w:val="%9."/>
      <w:lvlJc w:val="right"/>
      <w:pPr>
        <w:ind w:left="7146" w:hanging="180"/>
      </w:pPr>
    </w:lvl>
  </w:abstractNum>
  <w:abstractNum w:abstractNumId="2" w15:restartNumberingAfterBreak="0">
    <w:nsid w:val="44FB16D8"/>
    <w:multiLevelType w:val="multilevel"/>
    <w:tmpl w:val="59DE0290"/>
    <w:lvl w:ilvl="0">
      <w:start w:val="1"/>
      <w:numFmt w:val="decimal"/>
      <w:lvlText w:val="%1."/>
      <w:lvlJc w:val="left"/>
      <w:pPr>
        <w:ind w:left="567" w:hanging="567"/>
      </w:pPr>
      <w:rPr>
        <w:rFonts w:hint="default"/>
        <w:b w:val="0"/>
        <w:bCs w:val="0"/>
        <w:i w:val="0"/>
        <w:iCs w:val="0"/>
        <w:sz w:val="22"/>
        <w:szCs w:val="22"/>
      </w:rPr>
    </w:lvl>
    <w:lvl w:ilvl="1">
      <w:start w:val="1"/>
      <w:numFmt w:val="lowerLetter"/>
      <w:lvlText w:val="%2."/>
      <w:lvlJc w:val="left"/>
      <w:pPr>
        <w:ind w:left="1352" w:hanging="360"/>
      </w:pPr>
      <w:rPr>
        <w:rFonts w:ascii="Calibri" w:eastAsia="Times New Roman" w:hAnsi="Calibri" w:cs="Times New Roman"/>
        <w:b w:val="0"/>
        <w:bCs w:val="0"/>
        <w:i w:val="0"/>
        <w:iCs w:val="0"/>
      </w:rPr>
    </w:lvl>
    <w:lvl w:ilvl="2">
      <w:start w:val="1"/>
      <w:numFmt w:val="lowerRoman"/>
      <w:lvlText w:val="%3."/>
      <w:lvlJc w:val="left"/>
      <w:pPr>
        <w:ind w:left="2202" w:hanging="360"/>
      </w:pPr>
      <w:rPr>
        <w:rFonts w:hint="default"/>
      </w:rPr>
    </w:lvl>
    <w:lvl w:ilvl="3">
      <w:start w:val="1"/>
      <w:numFmt w:val="decimal"/>
      <w:lvlText w:val="%1.%2.%3.%4"/>
      <w:lvlJc w:val="left"/>
      <w:pPr>
        <w:ind w:left="4178" w:hanging="1080"/>
      </w:pPr>
      <w:rPr>
        <w:rFonts w:hint="default"/>
      </w:rPr>
    </w:lvl>
    <w:lvl w:ilvl="4">
      <w:start w:val="1"/>
      <w:numFmt w:val="decimal"/>
      <w:lvlText w:val="%1.%2.%3.%4.%5"/>
      <w:lvlJc w:val="left"/>
      <w:pPr>
        <w:ind w:left="5258" w:hanging="1080"/>
      </w:pPr>
      <w:rPr>
        <w:rFonts w:hint="default"/>
      </w:rPr>
    </w:lvl>
    <w:lvl w:ilvl="5">
      <w:start w:val="1"/>
      <w:numFmt w:val="decimal"/>
      <w:lvlText w:val="%1.%2.%3.%4.%5.%6"/>
      <w:lvlJc w:val="left"/>
      <w:pPr>
        <w:ind w:left="6698" w:hanging="1440"/>
      </w:pPr>
      <w:rPr>
        <w:rFonts w:hint="default"/>
      </w:rPr>
    </w:lvl>
    <w:lvl w:ilvl="6">
      <w:start w:val="1"/>
      <w:numFmt w:val="decimal"/>
      <w:lvlText w:val="%1.%2.%3.%4.%5.%6.%7"/>
      <w:lvlJc w:val="left"/>
      <w:pPr>
        <w:ind w:left="7778" w:hanging="1440"/>
      </w:pPr>
      <w:rPr>
        <w:rFonts w:hint="default"/>
      </w:rPr>
    </w:lvl>
    <w:lvl w:ilvl="7">
      <w:start w:val="1"/>
      <w:numFmt w:val="decimal"/>
      <w:lvlText w:val="%1.%2.%3.%4.%5.%6.%7.%8"/>
      <w:lvlJc w:val="left"/>
      <w:pPr>
        <w:ind w:left="9218" w:hanging="1800"/>
      </w:pPr>
      <w:rPr>
        <w:rFonts w:hint="default"/>
      </w:rPr>
    </w:lvl>
    <w:lvl w:ilvl="8">
      <w:start w:val="1"/>
      <w:numFmt w:val="decimal"/>
      <w:lvlText w:val="%1.%2.%3.%4.%5.%6.%7.%8.%9"/>
      <w:lvlJc w:val="left"/>
      <w:pPr>
        <w:ind w:left="10298" w:hanging="1800"/>
      </w:pPr>
      <w:rPr>
        <w:rFonts w:hint="default"/>
      </w:rPr>
    </w:lvl>
  </w:abstractNum>
  <w:abstractNum w:abstractNumId="3" w15:restartNumberingAfterBreak="0">
    <w:nsid w:val="6381157A"/>
    <w:multiLevelType w:val="hybridMultilevel"/>
    <w:tmpl w:val="BDAE7172"/>
    <w:lvl w:ilvl="0" w:tplc="FD540D8A">
      <w:start w:val="1"/>
      <w:numFmt w:val="decimal"/>
      <w:lvlText w:val="(%1)"/>
      <w:lvlJc w:val="left"/>
      <w:pPr>
        <w:ind w:left="1573" w:hanging="360"/>
      </w:pPr>
      <w:rPr>
        <w:rFonts w:hint="default"/>
      </w:rPr>
    </w:lvl>
    <w:lvl w:ilvl="1" w:tplc="08090019" w:tentative="1">
      <w:start w:val="1"/>
      <w:numFmt w:val="lowerLetter"/>
      <w:lvlText w:val="%2."/>
      <w:lvlJc w:val="left"/>
      <w:pPr>
        <w:ind w:left="2293" w:hanging="360"/>
      </w:pPr>
    </w:lvl>
    <w:lvl w:ilvl="2" w:tplc="0809001B" w:tentative="1">
      <w:start w:val="1"/>
      <w:numFmt w:val="lowerRoman"/>
      <w:lvlText w:val="%3."/>
      <w:lvlJc w:val="right"/>
      <w:pPr>
        <w:ind w:left="3013" w:hanging="180"/>
      </w:pPr>
    </w:lvl>
    <w:lvl w:ilvl="3" w:tplc="0809000F" w:tentative="1">
      <w:start w:val="1"/>
      <w:numFmt w:val="decimal"/>
      <w:lvlText w:val="%4."/>
      <w:lvlJc w:val="left"/>
      <w:pPr>
        <w:ind w:left="3733" w:hanging="360"/>
      </w:pPr>
    </w:lvl>
    <w:lvl w:ilvl="4" w:tplc="08090019" w:tentative="1">
      <w:start w:val="1"/>
      <w:numFmt w:val="lowerLetter"/>
      <w:lvlText w:val="%5."/>
      <w:lvlJc w:val="left"/>
      <w:pPr>
        <w:ind w:left="4453" w:hanging="360"/>
      </w:pPr>
    </w:lvl>
    <w:lvl w:ilvl="5" w:tplc="0809001B" w:tentative="1">
      <w:start w:val="1"/>
      <w:numFmt w:val="lowerRoman"/>
      <w:lvlText w:val="%6."/>
      <w:lvlJc w:val="right"/>
      <w:pPr>
        <w:ind w:left="5173" w:hanging="180"/>
      </w:pPr>
    </w:lvl>
    <w:lvl w:ilvl="6" w:tplc="0809000F" w:tentative="1">
      <w:start w:val="1"/>
      <w:numFmt w:val="decimal"/>
      <w:lvlText w:val="%7."/>
      <w:lvlJc w:val="left"/>
      <w:pPr>
        <w:ind w:left="5893" w:hanging="360"/>
      </w:pPr>
    </w:lvl>
    <w:lvl w:ilvl="7" w:tplc="08090019" w:tentative="1">
      <w:start w:val="1"/>
      <w:numFmt w:val="lowerLetter"/>
      <w:lvlText w:val="%8."/>
      <w:lvlJc w:val="left"/>
      <w:pPr>
        <w:ind w:left="6613" w:hanging="360"/>
      </w:pPr>
    </w:lvl>
    <w:lvl w:ilvl="8" w:tplc="0809001B" w:tentative="1">
      <w:start w:val="1"/>
      <w:numFmt w:val="lowerRoman"/>
      <w:lvlText w:val="%9."/>
      <w:lvlJc w:val="right"/>
      <w:pPr>
        <w:ind w:left="7333" w:hanging="180"/>
      </w:pPr>
    </w:lvl>
  </w:abstractNum>
  <w:abstractNum w:abstractNumId="4" w15:restartNumberingAfterBreak="0">
    <w:nsid w:val="75D70B9F"/>
    <w:multiLevelType w:val="multilevel"/>
    <w:tmpl w:val="96F820B0"/>
    <w:lvl w:ilvl="0">
      <w:start w:val="1"/>
      <w:numFmt w:val="decimal"/>
      <w:pStyle w:val="ParaLevel1"/>
      <w:lvlText w:val="%1."/>
      <w:lvlJc w:val="left"/>
      <w:pPr>
        <w:tabs>
          <w:tab w:val="num" w:pos="720"/>
        </w:tabs>
        <w:ind w:left="720" w:hanging="720"/>
      </w:pPr>
      <w:rPr>
        <w:rFonts w:hint="default"/>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2836"/>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254"/>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5672"/>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0"/>
  </w:num>
  <w:num w:numId="11">
    <w:abstractNumId w:val="2"/>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E575B38-1FAD-4940-8D4C-BDDB0D6D7180}"/>
    <w:docVar w:name="dgnword-eventsink" w:val="1232258124576"/>
  </w:docVars>
  <w:rsids>
    <w:rsidRoot w:val="008E1A1A"/>
    <w:rsid w:val="000005CE"/>
    <w:rsid w:val="00000908"/>
    <w:rsid w:val="00000A69"/>
    <w:rsid w:val="00002883"/>
    <w:rsid w:val="000037F0"/>
    <w:rsid w:val="000109F5"/>
    <w:rsid w:val="00011852"/>
    <w:rsid w:val="0001214D"/>
    <w:rsid w:val="00012C1B"/>
    <w:rsid w:val="00012F31"/>
    <w:rsid w:val="00013ACD"/>
    <w:rsid w:val="00014C86"/>
    <w:rsid w:val="00016694"/>
    <w:rsid w:val="00021F61"/>
    <w:rsid w:val="00024619"/>
    <w:rsid w:val="00026F38"/>
    <w:rsid w:val="00030244"/>
    <w:rsid w:val="00031C81"/>
    <w:rsid w:val="00032BC3"/>
    <w:rsid w:val="000352E1"/>
    <w:rsid w:val="000355B4"/>
    <w:rsid w:val="000403C3"/>
    <w:rsid w:val="000435B3"/>
    <w:rsid w:val="00044314"/>
    <w:rsid w:val="000447FF"/>
    <w:rsid w:val="00047CA2"/>
    <w:rsid w:val="00051937"/>
    <w:rsid w:val="000549A2"/>
    <w:rsid w:val="00054E3A"/>
    <w:rsid w:val="00056C9F"/>
    <w:rsid w:val="000600E6"/>
    <w:rsid w:val="000608F9"/>
    <w:rsid w:val="000667DA"/>
    <w:rsid w:val="00067EE2"/>
    <w:rsid w:val="00071ACE"/>
    <w:rsid w:val="00073567"/>
    <w:rsid w:val="00074131"/>
    <w:rsid w:val="000744B8"/>
    <w:rsid w:val="00074E9A"/>
    <w:rsid w:val="00075947"/>
    <w:rsid w:val="00080261"/>
    <w:rsid w:val="00082F6B"/>
    <w:rsid w:val="00084FBD"/>
    <w:rsid w:val="000860CE"/>
    <w:rsid w:val="0008684E"/>
    <w:rsid w:val="000904AA"/>
    <w:rsid w:val="00094F34"/>
    <w:rsid w:val="00097B61"/>
    <w:rsid w:val="000A13D9"/>
    <w:rsid w:val="000A1580"/>
    <w:rsid w:val="000A334C"/>
    <w:rsid w:val="000A4E77"/>
    <w:rsid w:val="000A5615"/>
    <w:rsid w:val="000A7F99"/>
    <w:rsid w:val="000B037C"/>
    <w:rsid w:val="000B1608"/>
    <w:rsid w:val="000B1952"/>
    <w:rsid w:val="000B1E53"/>
    <w:rsid w:val="000B44F7"/>
    <w:rsid w:val="000C0557"/>
    <w:rsid w:val="000C0631"/>
    <w:rsid w:val="000C2BED"/>
    <w:rsid w:val="000D1367"/>
    <w:rsid w:val="000D1460"/>
    <w:rsid w:val="000D22A0"/>
    <w:rsid w:val="000D509A"/>
    <w:rsid w:val="000D5CA2"/>
    <w:rsid w:val="000D5F5F"/>
    <w:rsid w:val="000E6FA2"/>
    <w:rsid w:val="000E707C"/>
    <w:rsid w:val="000F025C"/>
    <w:rsid w:val="000F18E7"/>
    <w:rsid w:val="000F1E05"/>
    <w:rsid w:val="000F49BF"/>
    <w:rsid w:val="000F7998"/>
    <w:rsid w:val="00100C7C"/>
    <w:rsid w:val="00101F3A"/>
    <w:rsid w:val="001023B2"/>
    <w:rsid w:val="001027C7"/>
    <w:rsid w:val="00104AFB"/>
    <w:rsid w:val="00106987"/>
    <w:rsid w:val="001128CD"/>
    <w:rsid w:val="001135F8"/>
    <w:rsid w:val="00115442"/>
    <w:rsid w:val="00115715"/>
    <w:rsid w:val="00117D65"/>
    <w:rsid w:val="00121036"/>
    <w:rsid w:val="00122EE1"/>
    <w:rsid w:val="001238A0"/>
    <w:rsid w:val="0012393C"/>
    <w:rsid w:val="00124A15"/>
    <w:rsid w:val="00125386"/>
    <w:rsid w:val="001305C7"/>
    <w:rsid w:val="00132543"/>
    <w:rsid w:val="0013276D"/>
    <w:rsid w:val="00132F4C"/>
    <w:rsid w:val="00134826"/>
    <w:rsid w:val="0013547C"/>
    <w:rsid w:val="0013625D"/>
    <w:rsid w:val="00136EE3"/>
    <w:rsid w:val="0014198A"/>
    <w:rsid w:val="0014253B"/>
    <w:rsid w:val="00142642"/>
    <w:rsid w:val="00146986"/>
    <w:rsid w:val="00150FA2"/>
    <w:rsid w:val="00155AE8"/>
    <w:rsid w:val="00156355"/>
    <w:rsid w:val="00156832"/>
    <w:rsid w:val="001570F1"/>
    <w:rsid w:val="00160996"/>
    <w:rsid w:val="00161186"/>
    <w:rsid w:val="00162382"/>
    <w:rsid w:val="0016287A"/>
    <w:rsid w:val="00164A19"/>
    <w:rsid w:val="0016720B"/>
    <w:rsid w:val="001700EE"/>
    <w:rsid w:val="001731FE"/>
    <w:rsid w:val="001733F6"/>
    <w:rsid w:val="001767B8"/>
    <w:rsid w:val="0018348B"/>
    <w:rsid w:val="00190652"/>
    <w:rsid w:val="00192273"/>
    <w:rsid w:val="001928AA"/>
    <w:rsid w:val="00194231"/>
    <w:rsid w:val="00196C2D"/>
    <w:rsid w:val="00197F31"/>
    <w:rsid w:val="001A1B18"/>
    <w:rsid w:val="001A22D2"/>
    <w:rsid w:val="001A3933"/>
    <w:rsid w:val="001A414C"/>
    <w:rsid w:val="001B2067"/>
    <w:rsid w:val="001B2CC6"/>
    <w:rsid w:val="001B2FFF"/>
    <w:rsid w:val="001B4A34"/>
    <w:rsid w:val="001B5240"/>
    <w:rsid w:val="001B5D5A"/>
    <w:rsid w:val="001B662C"/>
    <w:rsid w:val="001B66F4"/>
    <w:rsid w:val="001B6BE2"/>
    <w:rsid w:val="001C0518"/>
    <w:rsid w:val="001C0C29"/>
    <w:rsid w:val="001C2045"/>
    <w:rsid w:val="001C205F"/>
    <w:rsid w:val="001C2C9A"/>
    <w:rsid w:val="001D093A"/>
    <w:rsid w:val="001D1390"/>
    <w:rsid w:val="001D1408"/>
    <w:rsid w:val="001D23E7"/>
    <w:rsid w:val="001E0FE5"/>
    <w:rsid w:val="001E56B4"/>
    <w:rsid w:val="001E5AA5"/>
    <w:rsid w:val="001E712A"/>
    <w:rsid w:val="001F1715"/>
    <w:rsid w:val="001F4662"/>
    <w:rsid w:val="001F5C44"/>
    <w:rsid w:val="00200044"/>
    <w:rsid w:val="00200344"/>
    <w:rsid w:val="0020339F"/>
    <w:rsid w:val="002033C4"/>
    <w:rsid w:val="0020576A"/>
    <w:rsid w:val="00206FD7"/>
    <w:rsid w:val="00212501"/>
    <w:rsid w:val="00215036"/>
    <w:rsid w:val="00216D8C"/>
    <w:rsid w:val="00220335"/>
    <w:rsid w:val="0022151A"/>
    <w:rsid w:val="002218E1"/>
    <w:rsid w:val="002227E5"/>
    <w:rsid w:val="002228AA"/>
    <w:rsid w:val="00224A3D"/>
    <w:rsid w:val="002261C1"/>
    <w:rsid w:val="0023021D"/>
    <w:rsid w:val="00231689"/>
    <w:rsid w:val="00234691"/>
    <w:rsid w:val="002353EF"/>
    <w:rsid w:val="00235A96"/>
    <w:rsid w:val="0023603D"/>
    <w:rsid w:val="0023643A"/>
    <w:rsid w:val="0023736E"/>
    <w:rsid w:val="0024077D"/>
    <w:rsid w:val="00240A0D"/>
    <w:rsid w:val="002428E9"/>
    <w:rsid w:val="00242AF1"/>
    <w:rsid w:val="0024355C"/>
    <w:rsid w:val="00246931"/>
    <w:rsid w:val="00246C08"/>
    <w:rsid w:val="002477EA"/>
    <w:rsid w:val="002504B8"/>
    <w:rsid w:val="00250901"/>
    <w:rsid w:val="00252B52"/>
    <w:rsid w:val="002535FF"/>
    <w:rsid w:val="002563AF"/>
    <w:rsid w:val="00256D6F"/>
    <w:rsid w:val="002642F9"/>
    <w:rsid w:val="00264594"/>
    <w:rsid w:val="0026479E"/>
    <w:rsid w:val="0026562B"/>
    <w:rsid w:val="00265CBA"/>
    <w:rsid w:val="00271587"/>
    <w:rsid w:val="00271D6F"/>
    <w:rsid w:val="0027242B"/>
    <w:rsid w:val="00273C44"/>
    <w:rsid w:val="00273EE6"/>
    <w:rsid w:val="00273F6F"/>
    <w:rsid w:val="00275442"/>
    <w:rsid w:val="002776B6"/>
    <w:rsid w:val="002840EB"/>
    <w:rsid w:val="00285FB1"/>
    <w:rsid w:val="00286F5E"/>
    <w:rsid w:val="00287BD3"/>
    <w:rsid w:val="0029007E"/>
    <w:rsid w:val="002900A6"/>
    <w:rsid w:val="0029059B"/>
    <w:rsid w:val="0029140C"/>
    <w:rsid w:val="00291775"/>
    <w:rsid w:val="00292FD3"/>
    <w:rsid w:val="00294702"/>
    <w:rsid w:val="00295B31"/>
    <w:rsid w:val="00296103"/>
    <w:rsid w:val="002A351A"/>
    <w:rsid w:val="002A604C"/>
    <w:rsid w:val="002B18D6"/>
    <w:rsid w:val="002B4229"/>
    <w:rsid w:val="002B5CC3"/>
    <w:rsid w:val="002B7F92"/>
    <w:rsid w:val="002C3F4A"/>
    <w:rsid w:val="002C483D"/>
    <w:rsid w:val="002C5505"/>
    <w:rsid w:val="002C5637"/>
    <w:rsid w:val="002C60CE"/>
    <w:rsid w:val="002C6151"/>
    <w:rsid w:val="002C691E"/>
    <w:rsid w:val="002D2970"/>
    <w:rsid w:val="002D3CAF"/>
    <w:rsid w:val="002E0E97"/>
    <w:rsid w:val="002E3676"/>
    <w:rsid w:val="002E547E"/>
    <w:rsid w:val="002E5640"/>
    <w:rsid w:val="002E5B39"/>
    <w:rsid w:val="002E6480"/>
    <w:rsid w:val="002E6D6E"/>
    <w:rsid w:val="002E7F12"/>
    <w:rsid w:val="002F1286"/>
    <w:rsid w:val="002F2091"/>
    <w:rsid w:val="002F50C7"/>
    <w:rsid w:val="002F5161"/>
    <w:rsid w:val="002F5374"/>
    <w:rsid w:val="002F5785"/>
    <w:rsid w:val="002F7E89"/>
    <w:rsid w:val="0030044A"/>
    <w:rsid w:val="00301C6A"/>
    <w:rsid w:val="0030252E"/>
    <w:rsid w:val="00304104"/>
    <w:rsid w:val="00305588"/>
    <w:rsid w:val="003078A8"/>
    <w:rsid w:val="00310B47"/>
    <w:rsid w:val="0031132F"/>
    <w:rsid w:val="00313938"/>
    <w:rsid w:val="0031527F"/>
    <w:rsid w:val="003156B8"/>
    <w:rsid w:val="003169F7"/>
    <w:rsid w:val="00317C92"/>
    <w:rsid w:val="003204F5"/>
    <w:rsid w:val="00321E69"/>
    <w:rsid w:val="0032277A"/>
    <w:rsid w:val="00323A28"/>
    <w:rsid w:val="00323DFC"/>
    <w:rsid w:val="003278A2"/>
    <w:rsid w:val="00331EE7"/>
    <w:rsid w:val="00335769"/>
    <w:rsid w:val="0034342B"/>
    <w:rsid w:val="003440E7"/>
    <w:rsid w:val="00344448"/>
    <w:rsid w:val="00346BBE"/>
    <w:rsid w:val="003528FC"/>
    <w:rsid w:val="00354D5B"/>
    <w:rsid w:val="00356D06"/>
    <w:rsid w:val="003574F3"/>
    <w:rsid w:val="003579DA"/>
    <w:rsid w:val="0036062D"/>
    <w:rsid w:val="00361BEC"/>
    <w:rsid w:val="00362842"/>
    <w:rsid w:val="0036304E"/>
    <w:rsid w:val="00364206"/>
    <w:rsid w:val="00364C21"/>
    <w:rsid w:val="00365385"/>
    <w:rsid w:val="0036693A"/>
    <w:rsid w:val="00366E3E"/>
    <w:rsid w:val="00367247"/>
    <w:rsid w:val="00367A8B"/>
    <w:rsid w:val="00374375"/>
    <w:rsid w:val="003747FB"/>
    <w:rsid w:val="00376A09"/>
    <w:rsid w:val="003775D6"/>
    <w:rsid w:val="00380E7E"/>
    <w:rsid w:val="00382F87"/>
    <w:rsid w:val="003832A0"/>
    <w:rsid w:val="003838B2"/>
    <w:rsid w:val="003846BE"/>
    <w:rsid w:val="00386FE7"/>
    <w:rsid w:val="0038726E"/>
    <w:rsid w:val="003924A3"/>
    <w:rsid w:val="003928F0"/>
    <w:rsid w:val="003959D6"/>
    <w:rsid w:val="00396CA7"/>
    <w:rsid w:val="00397FD0"/>
    <w:rsid w:val="003A00B5"/>
    <w:rsid w:val="003A0809"/>
    <w:rsid w:val="003A098A"/>
    <w:rsid w:val="003A1C3B"/>
    <w:rsid w:val="003A723B"/>
    <w:rsid w:val="003B12C2"/>
    <w:rsid w:val="003B2E5E"/>
    <w:rsid w:val="003B3667"/>
    <w:rsid w:val="003B3AC4"/>
    <w:rsid w:val="003B3DA4"/>
    <w:rsid w:val="003B5505"/>
    <w:rsid w:val="003B5D15"/>
    <w:rsid w:val="003B7B62"/>
    <w:rsid w:val="003B7CE7"/>
    <w:rsid w:val="003C262A"/>
    <w:rsid w:val="003C2AC0"/>
    <w:rsid w:val="003C5FD3"/>
    <w:rsid w:val="003C6471"/>
    <w:rsid w:val="003C782D"/>
    <w:rsid w:val="003D3976"/>
    <w:rsid w:val="003D45BF"/>
    <w:rsid w:val="003D4755"/>
    <w:rsid w:val="003D778E"/>
    <w:rsid w:val="003E1227"/>
    <w:rsid w:val="003E2112"/>
    <w:rsid w:val="003E533D"/>
    <w:rsid w:val="003E75B4"/>
    <w:rsid w:val="003E7838"/>
    <w:rsid w:val="003F2974"/>
    <w:rsid w:val="003F4405"/>
    <w:rsid w:val="003F5A57"/>
    <w:rsid w:val="003F6DFD"/>
    <w:rsid w:val="00401359"/>
    <w:rsid w:val="004018F0"/>
    <w:rsid w:val="00404AA2"/>
    <w:rsid w:val="00405303"/>
    <w:rsid w:val="00407687"/>
    <w:rsid w:val="00407EFD"/>
    <w:rsid w:val="0041066B"/>
    <w:rsid w:val="004107E8"/>
    <w:rsid w:val="00411A41"/>
    <w:rsid w:val="00413528"/>
    <w:rsid w:val="00414F3F"/>
    <w:rsid w:val="00416747"/>
    <w:rsid w:val="00423274"/>
    <w:rsid w:val="0042449E"/>
    <w:rsid w:val="00424C21"/>
    <w:rsid w:val="004264FF"/>
    <w:rsid w:val="0042656A"/>
    <w:rsid w:val="00426BCF"/>
    <w:rsid w:val="0043071D"/>
    <w:rsid w:val="00431707"/>
    <w:rsid w:val="0043292D"/>
    <w:rsid w:val="004358F8"/>
    <w:rsid w:val="00437BF8"/>
    <w:rsid w:val="00442961"/>
    <w:rsid w:val="00444AEC"/>
    <w:rsid w:val="00445336"/>
    <w:rsid w:val="00445A5E"/>
    <w:rsid w:val="00450069"/>
    <w:rsid w:val="004513AD"/>
    <w:rsid w:val="00451842"/>
    <w:rsid w:val="00451E55"/>
    <w:rsid w:val="00455AF1"/>
    <w:rsid w:val="00456174"/>
    <w:rsid w:val="00456673"/>
    <w:rsid w:val="004638AB"/>
    <w:rsid w:val="004663AB"/>
    <w:rsid w:val="004665C7"/>
    <w:rsid w:val="00472C1C"/>
    <w:rsid w:val="0047573F"/>
    <w:rsid w:val="00475780"/>
    <w:rsid w:val="00475C19"/>
    <w:rsid w:val="00476ED3"/>
    <w:rsid w:val="00480566"/>
    <w:rsid w:val="00482D52"/>
    <w:rsid w:val="00483AB7"/>
    <w:rsid w:val="00483F2B"/>
    <w:rsid w:val="00485179"/>
    <w:rsid w:val="00486DB4"/>
    <w:rsid w:val="00487B7D"/>
    <w:rsid w:val="00491EA0"/>
    <w:rsid w:val="004A125A"/>
    <w:rsid w:val="004A32AC"/>
    <w:rsid w:val="004A5CEF"/>
    <w:rsid w:val="004A79D5"/>
    <w:rsid w:val="004B1548"/>
    <w:rsid w:val="004B462D"/>
    <w:rsid w:val="004B56F5"/>
    <w:rsid w:val="004B746B"/>
    <w:rsid w:val="004C0BE8"/>
    <w:rsid w:val="004C2102"/>
    <w:rsid w:val="004C41C2"/>
    <w:rsid w:val="004C4389"/>
    <w:rsid w:val="004D0023"/>
    <w:rsid w:val="004D1C02"/>
    <w:rsid w:val="004D587D"/>
    <w:rsid w:val="004D64BC"/>
    <w:rsid w:val="004D6AB2"/>
    <w:rsid w:val="004E0DF7"/>
    <w:rsid w:val="004E21E2"/>
    <w:rsid w:val="004E3173"/>
    <w:rsid w:val="004E390D"/>
    <w:rsid w:val="004E3C8B"/>
    <w:rsid w:val="004E4F39"/>
    <w:rsid w:val="004E5356"/>
    <w:rsid w:val="004E7A87"/>
    <w:rsid w:val="004F0126"/>
    <w:rsid w:val="004F0512"/>
    <w:rsid w:val="004F21F9"/>
    <w:rsid w:val="004F32F3"/>
    <w:rsid w:val="004F55AD"/>
    <w:rsid w:val="00500479"/>
    <w:rsid w:val="00504226"/>
    <w:rsid w:val="00504C59"/>
    <w:rsid w:val="00505314"/>
    <w:rsid w:val="005063FC"/>
    <w:rsid w:val="00507FD8"/>
    <w:rsid w:val="00511491"/>
    <w:rsid w:val="00511C5D"/>
    <w:rsid w:val="00512054"/>
    <w:rsid w:val="005145F5"/>
    <w:rsid w:val="005154B1"/>
    <w:rsid w:val="0051594F"/>
    <w:rsid w:val="005169F0"/>
    <w:rsid w:val="00516BAD"/>
    <w:rsid w:val="00516E44"/>
    <w:rsid w:val="005205E0"/>
    <w:rsid w:val="0052122E"/>
    <w:rsid w:val="00522B6A"/>
    <w:rsid w:val="005230AA"/>
    <w:rsid w:val="00523D81"/>
    <w:rsid w:val="0052506A"/>
    <w:rsid w:val="005303D4"/>
    <w:rsid w:val="00533227"/>
    <w:rsid w:val="00534BE8"/>
    <w:rsid w:val="00536A54"/>
    <w:rsid w:val="0054079C"/>
    <w:rsid w:val="00541301"/>
    <w:rsid w:val="00545437"/>
    <w:rsid w:val="005515C6"/>
    <w:rsid w:val="00552076"/>
    <w:rsid w:val="00552F87"/>
    <w:rsid w:val="0055329D"/>
    <w:rsid w:val="005540B2"/>
    <w:rsid w:val="00555496"/>
    <w:rsid w:val="00556BB8"/>
    <w:rsid w:val="00557E88"/>
    <w:rsid w:val="0056059C"/>
    <w:rsid w:val="00564088"/>
    <w:rsid w:val="0056450A"/>
    <w:rsid w:val="00564783"/>
    <w:rsid w:val="00567879"/>
    <w:rsid w:val="00571646"/>
    <w:rsid w:val="00573125"/>
    <w:rsid w:val="005736AD"/>
    <w:rsid w:val="00576FB5"/>
    <w:rsid w:val="005802C9"/>
    <w:rsid w:val="005827A8"/>
    <w:rsid w:val="00585FFC"/>
    <w:rsid w:val="005863F8"/>
    <w:rsid w:val="00586722"/>
    <w:rsid w:val="0058684E"/>
    <w:rsid w:val="005915D1"/>
    <w:rsid w:val="005925FB"/>
    <w:rsid w:val="00593BAB"/>
    <w:rsid w:val="005952EC"/>
    <w:rsid w:val="00595582"/>
    <w:rsid w:val="00596102"/>
    <w:rsid w:val="005973AD"/>
    <w:rsid w:val="005A07D7"/>
    <w:rsid w:val="005A3DBC"/>
    <w:rsid w:val="005A541A"/>
    <w:rsid w:val="005A5829"/>
    <w:rsid w:val="005B0911"/>
    <w:rsid w:val="005B123E"/>
    <w:rsid w:val="005B19A2"/>
    <w:rsid w:val="005B233D"/>
    <w:rsid w:val="005B62CB"/>
    <w:rsid w:val="005B6D16"/>
    <w:rsid w:val="005C2DC0"/>
    <w:rsid w:val="005C4177"/>
    <w:rsid w:val="005C7187"/>
    <w:rsid w:val="005D255E"/>
    <w:rsid w:val="005D2F39"/>
    <w:rsid w:val="005D5874"/>
    <w:rsid w:val="005D61F0"/>
    <w:rsid w:val="005D67D0"/>
    <w:rsid w:val="005D721A"/>
    <w:rsid w:val="005E0482"/>
    <w:rsid w:val="005E1279"/>
    <w:rsid w:val="005E1C93"/>
    <w:rsid w:val="005E4842"/>
    <w:rsid w:val="005E4FA8"/>
    <w:rsid w:val="005E5845"/>
    <w:rsid w:val="005E60E1"/>
    <w:rsid w:val="005E79A6"/>
    <w:rsid w:val="005E7A52"/>
    <w:rsid w:val="005E7D47"/>
    <w:rsid w:val="005F4485"/>
    <w:rsid w:val="005F6C65"/>
    <w:rsid w:val="005F6DB9"/>
    <w:rsid w:val="005F7520"/>
    <w:rsid w:val="00601CFE"/>
    <w:rsid w:val="006025EC"/>
    <w:rsid w:val="006040E0"/>
    <w:rsid w:val="006104B1"/>
    <w:rsid w:val="00612D2D"/>
    <w:rsid w:val="00614D90"/>
    <w:rsid w:val="00615832"/>
    <w:rsid w:val="0061600B"/>
    <w:rsid w:val="00616EF3"/>
    <w:rsid w:val="006207A2"/>
    <w:rsid w:val="00621129"/>
    <w:rsid w:val="00621D3C"/>
    <w:rsid w:val="00626D24"/>
    <w:rsid w:val="00626EC3"/>
    <w:rsid w:val="00627422"/>
    <w:rsid w:val="00631943"/>
    <w:rsid w:val="00632D1D"/>
    <w:rsid w:val="006345B7"/>
    <w:rsid w:val="00634F67"/>
    <w:rsid w:val="00635BC6"/>
    <w:rsid w:val="00637B16"/>
    <w:rsid w:val="00640355"/>
    <w:rsid w:val="00640D5D"/>
    <w:rsid w:val="0064168A"/>
    <w:rsid w:val="00641F4C"/>
    <w:rsid w:val="00644AA7"/>
    <w:rsid w:val="00645D33"/>
    <w:rsid w:val="0064626C"/>
    <w:rsid w:val="00650172"/>
    <w:rsid w:val="00650231"/>
    <w:rsid w:val="00650727"/>
    <w:rsid w:val="006509FC"/>
    <w:rsid w:val="006540FF"/>
    <w:rsid w:val="00654C5E"/>
    <w:rsid w:val="00654C91"/>
    <w:rsid w:val="00657CE4"/>
    <w:rsid w:val="00661094"/>
    <w:rsid w:val="0066140B"/>
    <w:rsid w:val="00667F27"/>
    <w:rsid w:val="00670D8F"/>
    <w:rsid w:val="006806BC"/>
    <w:rsid w:val="00681D48"/>
    <w:rsid w:val="00682257"/>
    <w:rsid w:val="006840CC"/>
    <w:rsid w:val="00686094"/>
    <w:rsid w:val="00686519"/>
    <w:rsid w:val="00692CBF"/>
    <w:rsid w:val="00693344"/>
    <w:rsid w:val="00694C2E"/>
    <w:rsid w:val="00696802"/>
    <w:rsid w:val="006A1016"/>
    <w:rsid w:val="006A1EC6"/>
    <w:rsid w:val="006A3667"/>
    <w:rsid w:val="006A3F48"/>
    <w:rsid w:val="006A7B06"/>
    <w:rsid w:val="006B00D7"/>
    <w:rsid w:val="006B2027"/>
    <w:rsid w:val="006B2473"/>
    <w:rsid w:val="006B2758"/>
    <w:rsid w:val="006B3826"/>
    <w:rsid w:val="006B3D37"/>
    <w:rsid w:val="006B6821"/>
    <w:rsid w:val="006B77A6"/>
    <w:rsid w:val="006C0003"/>
    <w:rsid w:val="006C20C8"/>
    <w:rsid w:val="006C7057"/>
    <w:rsid w:val="006D5048"/>
    <w:rsid w:val="006D7498"/>
    <w:rsid w:val="006D7CBB"/>
    <w:rsid w:val="006E1B33"/>
    <w:rsid w:val="006E1C9E"/>
    <w:rsid w:val="006E4AE3"/>
    <w:rsid w:val="006E58F5"/>
    <w:rsid w:val="006F1FA0"/>
    <w:rsid w:val="006F4140"/>
    <w:rsid w:val="006F66B2"/>
    <w:rsid w:val="006F7896"/>
    <w:rsid w:val="006F7E33"/>
    <w:rsid w:val="00700344"/>
    <w:rsid w:val="00700A2C"/>
    <w:rsid w:val="00701081"/>
    <w:rsid w:val="00702013"/>
    <w:rsid w:val="00703808"/>
    <w:rsid w:val="00703DB0"/>
    <w:rsid w:val="00704979"/>
    <w:rsid w:val="007057D2"/>
    <w:rsid w:val="0071206F"/>
    <w:rsid w:val="007134B3"/>
    <w:rsid w:val="00713C28"/>
    <w:rsid w:val="00716283"/>
    <w:rsid w:val="00717697"/>
    <w:rsid w:val="00717A25"/>
    <w:rsid w:val="00717B47"/>
    <w:rsid w:val="00723B76"/>
    <w:rsid w:val="007255AF"/>
    <w:rsid w:val="007255C2"/>
    <w:rsid w:val="00725AE1"/>
    <w:rsid w:val="00727661"/>
    <w:rsid w:val="00727A48"/>
    <w:rsid w:val="007328C8"/>
    <w:rsid w:val="00732C3C"/>
    <w:rsid w:val="0073422D"/>
    <w:rsid w:val="007343B0"/>
    <w:rsid w:val="00736E98"/>
    <w:rsid w:val="007445AE"/>
    <w:rsid w:val="00756E60"/>
    <w:rsid w:val="00757388"/>
    <w:rsid w:val="00765032"/>
    <w:rsid w:val="0076614D"/>
    <w:rsid w:val="007703CD"/>
    <w:rsid w:val="00770973"/>
    <w:rsid w:val="0077264D"/>
    <w:rsid w:val="00772FA7"/>
    <w:rsid w:val="0077649E"/>
    <w:rsid w:val="00782889"/>
    <w:rsid w:val="007843EF"/>
    <w:rsid w:val="007864C0"/>
    <w:rsid w:val="0079050E"/>
    <w:rsid w:val="007923EA"/>
    <w:rsid w:val="007939AE"/>
    <w:rsid w:val="00796CD0"/>
    <w:rsid w:val="00797059"/>
    <w:rsid w:val="007A0B3E"/>
    <w:rsid w:val="007A1221"/>
    <w:rsid w:val="007A34F8"/>
    <w:rsid w:val="007A675B"/>
    <w:rsid w:val="007B238A"/>
    <w:rsid w:val="007B55DA"/>
    <w:rsid w:val="007C15BE"/>
    <w:rsid w:val="007C1E1B"/>
    <w:rsid w:val="007C2723"/>
    <w:rsid w:val="007C35BD"/>
    <w:rsid w:val="007C3C9F"/>
    <w:rsid w:val="007C4CF2"/>
    <w:rsid w:val="007C7AB6"/>
    <w:rsid w:val="007D0221"/>
    <w:rsid w:val="007D042F"/>
    <w:rsid w:val="007D16A1"/>
    <w:rsid w:val="007D3607"/>
    <w:rsid w:val="007D5C30"/>
    <w:rsid w:val="007D71EE"/>
    <w:rsid w:val="007D7987"/>
    <w:rsid w:val="007E2A26"/>
    <w:rsid w:val="007E2AFB"/>
    <w:rsid w:val="007E720E"/>
    <w:rsid w:val="007F16DD"/>
    <w:rsid w:val="007F178C"/>
    <w:rsid w:val="007F73D3"/>
    <w:rsid w:val="00800AD8"/>
    <w:rsid w:val="0080239F"/>
    <w:rsid w:val="00802744"/>
    <w:rsid w:val="008041A4"/>
    <w:rsid w:val="008042A3"/>
    <w:rsid w:val="00804548"/>
    <w:rsid w:val="00805AF8"/>
    <w:rsid w:val="008117E3"/>
    <w:rsid w:val="00814670"/>
    <w:rsid w:val="00817487"/>
    <w:rsid w:val="00817B6F"/>
    <w:rsid w:val="00817B9B"/>
    <w:rsid w:val="00821827"/>
    <w:rsid w:val="00822A92"/>
    <w:rsid w:val="008247F0"/>
    <w:rsid w:val="008247FF"/>
    <w:rsid w:val="00826625"/>
    <w:rsid w:val="00830048"/>
    <w:rsid w:val="0083182B"/>
    <w:rsid w:val="008323EC"/>
    <w:rsid w:val="008368B5"/>
    <w:rsid w:val="00841551"/>
    <w:rsid w:val="00841FEC"/>
    <w:rsid w:val="0084354C"/>
    <w:rsid w:val="0084416F"/>
    <w:rsid w:val="0084566A"/>
    <w:rsid w:val="00847FA5"/>
    <w:rsid w:val="00852AE7"/>
    <w:rsid w:val="008540DC"/>
    <w:rsid w:val="00856D08"/>
    <w:rsid w:val="008573C9"/>
    <w:rsid w:val="008609F7"/>
    <w:rsid w:val="0086195E"/>
    <w:rsid w:val="00866DC1"/>
    <w:rsid w:val="00867FAE"/>
    <w:rsid w:val="00870DEB"/>
    <w:rsid w:val="008718AB"/>
    <w:rsid w:val="00876B68"/>
    <w:rsid w:val="00876FDB"/>
    <w:rsid w:val="00877252"/>
    <w:rsid w:val="008772BC"/>
    <w:rsid w:val="0087788F"/>
    <w:rsid w:val="0088303A"/>
    <w:rsid w:val="00883F55"/>
    <w:rsid w:val="00886E60"/>
    <w:rsid w:val="00890933"/>
    <w:rsid w:val="00890FC1"/>
    <w:rsid w:val="00895D68"/>
    <w:rsid w:val="00896A26"/>
    <w:rsid w:val="00896B67"/>
    <w:rsid w:val="00896C7D"/>
    <w:rsid w:val="008A1272"/>
    <w:rsid w:val="008A20F6"/>
    <w:rsid w:val="008A60BB"/>
    <w:rsid w:val="008A6122"/>
    <w:rsid w:val="008A64D0"/>
    <w:rsid w:val="008A7E8E"/>
    <w:rsid w:val="008B713C"/>
    <w:rsid w:val="008C0BB2"/>
    <w:rsid w:val="008C164F"/>
    <w:rsid w:val="008C1840"/>
    <w:rsid w:val="008C35E9"/>
    <w:rsid w:val="008C5A1A"/>
    <w:rsid w:val="008C6980"/>
    <w:rsid w:val="008C6C7D"/>
    <w:rsid w:val="008D065B"/>
    <w:rsid w:val="008D3096"/>
    <w:rsid w:val="008D6FC0"/>
    <w:rsid w:val="008D75B1"/>
    <w:rsid w:val="008E1848"/>
    <w:rsid w:val="008E1A1A"/>
    <w:rsid w:val="008E2799"/>
    <w:rsid w:val="008E4C28"/>
    <w:rsid w:val="008F11F0"/>
    <w:rsid w:val="009017EC"/>
    <w:rsid w:val="009032F3"/>
    <w:rsid w:val="00903AE8"/>
    <w:rsid w:val="00905987"/>
    <w:rsid w:val="00906065"/>
    <w:rsid w:val="00911F3E"/>
    <w:rsid w:val="009128EE"/>
    <w:rsid w:val="00913A19"/>
    <w:rsid w:val="00913CD8"/>
    <w:rsid w:val="00921EA7"/>
    <w:rsid w:val="00922846"/>
    <w:rsid w:val="009248E6"/>
    <w:rsid w:val="00930A2F"/>
    <w:rsid w:val="00930C52"/>
    <w:rsid w:val="00930EA3"/>
    <w:rsid w:val="00932B76"/>
    <w:rsid w:val="00932E89"/>
    <w:rsid w:val="00933719"/>
    <w:rsid w:val="0093675C"/>
    <w:rsid w:val="00936AD7"/>
    <w:rsid w:val="009419A5"/>
    <w:rsid w:val="009431A6"/>
    <w:rsid w:val="00943E65"/>
    <w:rsid w:val="009456C8"/>
    <w:rsid w:val="00945AC4"/>
    <w:rsid w:val="0094655C"/>
    <w:rsid w:val="0094752E"/>
    <w:rsid w:val="0095123A"/>
    <w:rsid w:val="00955902"/>
    <w:rsid w:val="00955F37"/>
    <w:rsid w:val="00960AC7"/>
    <w:rsid w:val="00963197"/>
    <w:rsid w:val="00963FE9"/>
    <w:rsid w:val="00964375"/>
    <w:rsid w:val="009644F2"/>
    <w:rsid w:val="00971389"/>
    <w:rsid w:val="0097455A"/>
    <w:rsid w:val="00974801"/>
    <w:rsid w:val="00976F04"/>
    <w:rsid w:val="00977A2B"/>
    <w:rsid w:val="009848F5"/>
    <w:rsid w:val="009856CB"/>
    <w:rsid w:val="009870E3"/>
    <w:rsid w:val="0099435D"/>
    <w:rsid w:val="00996187"/>
    <w:rsid w:val="009A0555"/>
    <w:rsid w:val="009A0577"/>
    <w:rsid w:val="009A42D9"/>
    <w:rsid w:val="009A5EF8"/>
    <w:rsid w:val="009B0D47"/>
    <w:rsid w:val="009B1762"/>
    <w:rsid w:val="009B23C4"/>
    <w:rsid w:val="009B3B26"/>
    <w:rsid w:val="009B582F"/>
    <w:rsid w:val="009B5C4D"/>
    <w:rsid w:val="009C01E9"/>
    <w:rsid w:val="009C3147"/>
    <w:rsid w:val="009C56D7"/>
    <w:rsid w:val="009C58CE"/>
    <w:rsid w:val="009C6CB5"/>
    <w:rsid w:val="009D0823"/>
    <w:rsid w:val="009D41C3"/>
    <w:rsid w:val="009D50A1"/>
    <w:rsid w:val="009D564D"/>
    <w:rsid w:val="009E02BC"/>
    <w:rsid w:val="009E091C"/>
    <w:rsid w:val="009E1C75"/>
    <w:rsid w:val="009E4319"/>
    <w:rsid w:val="009E4CF4"/>
    <w:rsid w:val="009E6927"/>
    <w:rsid w:val="009F207C"/>
    <w:rsid w:val="009F3E8E"/>
    <w:rsid w:val="009F3ED2"/>
    <w:rsid w:val="009F592A"/>
    <w:rsid w:val="009F6768"/>
    <w:rsid w:val="009F69C5"/>
    <w:rsid w:val="009F6C97"/>
    <w:rsid w:val="009F6E3E"/>
    <w:rsid w:val="00A0140B"/>
    <w:rsid w:val="00A024B8"/>
    <w:rsid w:val="00A02780"/>
    <w:rsid w:val="00A05AAD"/>
    <w:rsid w:val="00A06C7A"/>
    <w:rsid w:val="00A0730D"/>
    <w:rsid w:val="00A074AD"/>
    <w:rsid w:val="00A07559"/>
    <w:rsid w:val="00A1178F"/>
    <w:rsid w:val="00A11A6A"/>
    <w:rsid w:val="00A11EED"/>
    <w:rsid w:val="00A14A2D"/>
    <w:rsid w:val="00A169CF"/>
    <w:rsid w:val="00A2031C"/>
    <w:rsid w:val="00A21B4D"/>
    <w:rsid w:val="00A2383D"/>
    <w:rsid w:val="00A24B24"/>
    <w:rsid w:val="00A24D8F"/>
    <w:rsid w:val="00A327E3"/>
    <w:rsid w:val="00A34845"/>
    <w:rsid w:val="00A35B42"/>
    <w:rsid w:val="00A35DDA"/>
    <w:rsid w:val="00A36842"/>
    <w:rsid w:val="00A36870"/>
    <w:rsid w:val="00A37BBB"/>
    <w:rsid w:val="00A37DA9"/>
    <w:rsid w:val="00A40E77"/>
    <w:rsid w:val="00A42D53"/>
    <w:rsid w:val="00A52E72"/>
    <w:rsid w:val="00A53ABA"/>
    <w:rsid w:val="00A543F6"/>
    <w:rsid w:val="00A550E8"/>
    <w:rsid w:val="00A567D4"/>
    <w:rsid w:val="00A574EC"/>
    <w:rsid w:val="00A60B2F"/>
    <w:rsid w:val="00A62036"/>
    <w:rsid w:val="00A62AF9"/>
    <w:rsid w:val="00A63320"/>
    <w:rsid w:val="00A6544E"/>
    <w:rsid w:val="00A65B0D"/>
    <w:rsid w:val="00A65FD2"/>
    <w:rsid w:val="00A66CB9"/>
    <w:rsid w:val="00A71519"/>
    <w:rsid w:val="00A7294D"/>
    <w:rsid w:val="00A74BF7"/>
    <w:rsid w:val="00A80B82"/>
    <w:rsid w:val="00A87BF9"/>
    <w:rsid w:val="00A92C13"/>
    <w:rsid w:val="00A92DE2"/>
    <w:rsid w:val="00AA3B34"/>
    <w:rsid w:val="00AA3FAB"/>
    <w:rsid w:val="00AA6F48"/>
    <w:rsid w:val="00AA6F86"/>
    <w:rsid w:val="00AA702A"/>
    <w:rsid w:val="00AB0C10"/>
    <w:rsid w:val="00AB14A2"/>
    <w:rsid w:val="00AB1A82"/>
    <w:rsid w:val="00AB1E25"/>
    <w:rsid w:val="00AB2C52"/>
    <w:rsid w:val="00AB6197"/>
    <w:rsid w:val="00AB78F7"/>
    <w:rsid w:val="00AC0AA3"/>
    <w:rsid w:val="00AC305E"/>
    <w:rsid w:val="00AC4099"/>
    <w:rsid w:val="00AD1555"/>
    <w:rsid w:val="00AD1E2C"/>
    <w:rsid w:val="00AD2878"/>
    <w:rsid w:val="00AD7D7D"/>
    <w:rsid w:val="00AE0FCB"/>
    <w:rsid w:val="00AE264E"/>
    <w:rsid w:val="00AE283C"/>
    <w:rsid w:val="00AE3E9E"/>
    <w:rsid w:val="00AF042E"/>
    <w:rsid w:val="00AF4CF7"/>
    <w:rsid w:val="00AF4E4A"/>
    <w:rsid w:val="00AF5B73"/>
    <w:rsid w:val="00AF6358"/>
    <w:rsid w:val="00AF69AB"/>
    <w:rsid w:val="00AF6F89"/>
    <w:rsid w:val="00AF6FD2"/>
    <w:rsid w:val="00AF7B3D"/>
    <w:rsid w:val="00B02F1B"/>
    <w:rsid w:val="00B048FE"/>
    <w:rsid w:val="00B133A5"/>
    <w:rsid w:val="00B14214"/>
    <w:rsid w:val="00B156F6"/>
    <w:rsid w:val="00B1599A"/>
    <w:rsid w:val="00B20A72"/>
    <w:rsid w:val="00B249AA"/>
    <w:rsid w:val="00B251D6"/>
    <w:rsid w:val="00B26A4A"/>
    <w:rsid w:val="00B305A7"/>
    <w:rsid w:val="00B31A41"/>
    <w:rsid w:val="00B31FDC"/>
    <w:rsid w:val="00B3377C"/>
    <w:rsid w:val="00B34C03"/>
    <w:rsid w:val="00B35CD5"/>
    <w:rsid w:val="00B362A4"/>
    <w:rsid w:val="00B3636E"/>
    <w:rsid w:val="00B3653C"/>
    <w:rsid w:val="00B36600"/>
    <w:rsid w:val="00B3666D"/>
    <w:rsid w:val="00B36F14"/>
    <w:rsid w:val="00B40241"/>
    <w:rsid w:val="00B40C56"/>
    <w:rsid w:val="00B4333F"/>
    <w:rsid w:val="00B43738"/>
    <w:rsid w:val="00B4485F"/>
    <w:rsid w:val="00B45BD4"/>
    <w:rsid w:val="00B46AB0"/>
    <w:rsid w:val="00B53FA3"/>
    <w:rsid w:val="00B548F8"/>
    <w:rsid w:val="00B552B8"/>
    <w:rsid w:val="00B55535"/>
    <w:rsid w:val="00B57597"/>
    <w:rsid w:val="00B579C4"/>
    <w:rsid w:val="00B60215"/>
    <w:rsid w:val="00B621F4"/>
    <w:rsid w:val="00B62956"/>
    <w:rsid w:val="00B7057D"/>
    <w:rsid w:val="00B70B51"/>
    <w:rsid w:val="00B7104A"/>
    <w:rsid w:val="00B72FEC"/>
    <w:rsid w:val="00B73500"/>
    <w:rsid w:val="00B739D7"/>
    <w:rsid w:val="00B73A27"/>
    <w:rsid w:val="00B7532B"/>
    <w:rsid w:val="00B75379"/>
    <w:rsid w:val="00B824A8"/>
    <w:rsid w:val="00B834AF"/>
    <w:rsid w:val="00B836ED"/>
    <w:rsid w:val="00B84AEB"/>
    <w:rsid w:val="00B91CA7"/>
    <w:rsid w:val="00B92E40"/>
    <w:rsid w:val="00B977A4"/>
    <w:rsid w:val="00BA18D0"/>
    <w:rsid w:val="00BA38F9"/>
    <w:rsid w:val="00BA4663"/>
    <w:rsid w:val="00BB1270"/>
    <w:rsid w:val="00BB1722"/>
    <w:rsid w:val="00BB61B9"/>
    <w:rsid w:val="00BB657F"/>
    <w:rsid w:val="00BC1FC7"/>
    <w:rsid w:val="00BC3A78"/>
    <w:rsid w:val="00BC3BB5"/>
    <w:rsid w:val="00BC5B62"/>
    <w:rsid w:val="00BC68CD"/>
    <w:rsid w:val="00BC74AA"/>
    <w:rsid w:val="00BC7D79"/>
    <w:rsid w:val="00BD079F"/>
    <w:rsid w:val="00BD116C"/>
    <w:rsid w:val="00BD4D22"/>
    <w:rsid w:val="00BD5845"/>
    <w:rsid w:val="00BD58AA"/>
    <w:rsid w:val="00BD5A95"/>
    <w:rsid w:val="00BE1857"/>
    <w:rsid w:val="00BE340E"/>
    <w:rsid w:val="00BE5242"/>
    <w:rsid w:val="00BE79F6"/>
    <w:rsid w:val="00BF11CA"/>
    <w:rsid w:val="00BF14C3"/>
    <w:rsid w:val="00BF296D"/>
    <w:rsid w:val="00BF3EDC"/>
    <w:rsid w:val="00BF604D"/>
    <w:rsid w:val="00C00F2A"/>
    <w:rsid w:val="00C0235B"/>
    <w:rsid w:val="00C02F48"/>
    <w:rsid w:val="00C03856"/>
    <w:rsid w:val="00C07F77"/>
    <w:rsid w:val="00C11540"/>
    <w:rsid w:val="00C1403B"/>
    <w:rsid w:val="00C20011"/>
    <w:rsid w:val="00C2010D"/>
    <w:rsid w:val="00C20A46"/>
    <w:rsid w:val="00C21592"/>
    <w:rsid w:val="00C223C9"/>
    <w:rsid w:val="00C25D63"/>
    <w:rsid w:val="00C26EA0"/>
    <w:rsid w:val="00C27D38"/>
    <w:rsid w:val="00C370B6"/>
    <w:rsid w:val="00C374D5"/>
    <w:rsid w:val="00C407E4"/>
    <w:rsid w:val="00C42B93"/>
    <w:rsid w:val="00C42D1D"/>
    <w:rsid w:val="00C436E0"/>
    <w:rsid w:val="00C439A3"/>
    <w:rsid w:val="00C43AC7"/>
    <w:rsid w:val="00C443EC"/>
    <w:rsid w:val="00C45B3F"/>
    <w:rsid w:val="00C47A1F"/>
    <w:rsid w:val="00C5308F"/>
    <w:rsid w:val="00C5389F"/>
    <w:rsid w:val="00C609BD"/>
    <w:rsid w:val="00C653E8"/>
    <w:rsid w:val="00C6693E"/>
    <w:rsid w:val="00C67822"/>
    <w:rsid w:val="00C7212E"/>
    <w:rsid w:val="00C72603"/>
    <w:rsid w:val="00C73B6C"/>
    <w:rsid w:val="00C749ED"/>
    <w:rsid w:val="00C74DCA"/>
    <w:rsid w:val="00C77E48"/>
    <w:rsid w:val="00C828BB"/>
    <w:rsid w:val="00C842CB"/>
    <w:rsid w:val="00C849EC"/>
    <w:rsid w:val="00C84C92"/>
    <w:rsid w:val="00C85280"/>
    <w:rsid w:val="00C85CDE"/>
    <w:rsid w:val="00C86732"/>
    <w:rsid w:val="00C879A0"/>
    <w:rsid w:val="00C90EBA"/>
    <w:rsid w:val="00C93314"/>
    <w:rsid w:val="00C9455C"/>
    <w:rsid w:val="00C9468A"/>
    <w:rsid w:val="00C95F70"/>
    <w:rsid w:val="00C96D29"/>
    <w:rsid w:val="00C974A6"/>
    <w:rsid w:val="00C97AB3"/>
    <w:rsid w:val="00C97C4A"/>
    <w:rsid w:val="00CA4E3E"/>
    <w:rsid w:val="00CA5344"/>
    <w:rsid w:val="00CA584B"/>
    <w:rsid w:val="00CA66BF"/>
    <w:rsid w:val="00CA678E"/>
    <w:rsid w:val="00CB3C4F"/>
    <w:rsid w:val="00CB4300"/>
    <w:rsid w:val="00CB4537"/>
    <w:rsid w:val="00CB6601"/>
    <w:rsid w:val="00CB7405"/>
    <w:rsid w:val="00CC607D"/>
    <w:rsid w:val="00CC6138"/>
    <w:rsid w:val="00CD22F0"/>
    <w:rsid w:val="00CD3215"/>
    <w:rsid w:val="00CE0A81"/>
    <w:rsid w:val="00CE10CC"/>
    <w:rsid w:val="00CE2E4F"/>
    <w:rsid w:val="00CE2F4B"/>
    <w:rsid w:val="00CE3223"/>
    <w:rsid w:val="00CE70AF"/>
    <w:rsid w:val="00CE73C5"/>
    <w:rsid w:val="00CE7609"/>
    <w:rsid w:val="00CF1B3A"/>
    <w:rsid w:val="00D005C4"/>
    <w:rsid w:val="00D02064"/>
    <w:rsid w:val="00D03E45"/>
    <w:rsid w:val="00D04A60"/>
    <w:rsid w:val="00D054BB"/>
    <w:rsid w:val="00D11725"/>
    <w:rsid w:val="00D137B0"/>
    <w:rsid w:val="00D1446D"/>
    <w:rsid w:val="00D151DE"/>
    <w:rsid w:val="00D15C6B"/>
    <w:rsid w:val="00D15EF9"/>
    <w:rsid w:val="00D21D4C"/>
    <w:rsid w:val="00D22DC9"/>
    <w:rsid w:val="00D23EB7"/>
    <w:rsid w:val="00D24724"/>
    <w:rsid w:val="00D30113"/>
    <w:rsid w:val="00D3062D"/>
    <w:rsid w:val="00D306F8"/>
    <w:rsid w:val="00D30F47"/>
    <w:rsid w:val="00D311D0"/>
    <w:rsid w:val="00D354A5"/>
    <w:rsid w:val="00D363AE"/>
    <w:rsid w:val="00D37377"/>
    <w:rsid w:val="00D4172E"/>
    <w:rsid w:val="00D43D81"/>
    <w:rsid w:val="00D44807"/>
    <w:rsid w:val="00D44B50"/>
    <w:rsid w:val="00D462C7"/>
    <w:rsid w:val="00D4798C"/>
    <w:rsid w:val="00D5035C"/>
    <w:rsid w:val="00D5164D"/>
    <w:rsid w:val="00D529C0"/>
    <w:rsid w:val="00D5308D"/>
    <w:rsid w:val="00D5492F"/>
    <w:rsid w:val="00D55CE6"/>
    <w:rsid w:val="00D577E7"/>
    <w:rsid w:val="00D57884"/>
    <w:rsid w:val="00D614CB"/>
    <w:rsid w:val="00D6265A"/>
    <w:rsid w:val="00D628D6"/>
    <w:rsid w:val="00D63265"/>
    <w:rsid w:val="00D63D0D"/>
    <w:rsid w:val="00D658EF"/>
    <w:rsid w:val="00D7104D"/>
    <w:rsid w:val="00D71C92"/>
    <w:rsid w:val="00D728F1"/>
    <w:rsid w:val="00D819E1"/>
    <w:rsid w:val="00D84322"/>
    <w:rsid w:val="00D84766"/>
    <w:rsid w:val="00D8579B"/>
    <w:rsid w:val="00D85DCD"/>
    <w:rsid w:val="00D862F4"/>
    <w:rsid w:val="00D866E9"/>
    <w:rsid w:val="00D878A0"/>
    <w:rsid w:val="00D87B60"/>
    <w:rsid w:val="00D89578"/>
    <w:rsid w:val="00D90913"/>
    <w:rsid w:val="00D91638"/>
    <w:rsid w:val="00D930C8"/>
    <w:rsid w:val="00D941B7"/>
    <w:rsid w:val="00D94A8F"/>
    <w:rsid w:val="00D95C21"/>
    <w:rsid w:val="00D96416"/>
    <w:rsid w:val="00D97086"/>
    <w:rsid w:val="00D97B94"/>
    <w:rsid w:val="00DA32EA"/>
    <w:rsid w:val="00DA38C1"/>
    <w:rsid w:val="00DB1A1B"/>
    <w:rsid w:val="00DB602B"/>
    <w:rsid w:val="00DB78C2"/>
    <w:rsid w:val="00DC0C26"/>
    <w:rsid w:val="00DC460F"/>
    <w:rsid w:val="00DC46DF"/>
    <w:rsid w:val="00DC5471"/>
    <w:rsid w:val="00DD0CEB"/>
    <w:rsid w:val="00DD2FE0"/>
    <w:rsid w:val="00DD3648"/>
    <w:rsid w:val="00DD4E3E"/>
    <w:rsid w:val="00DD5F10"/>
    <w:rsid w:val="00DE173D"/>
    <w:rsid w:val="00DE23F2"/>
    <w:rsid w:val="00DE2C8A"/>
    <w:rsid w:val="00DE3A5B"/>
    <w:rsid w:val="00DE3DC1"/>
    <w:rsid w:val="00DE4102"/>
    <w:rsid w:val="00DE5938"/>
    <w:rsid w:val="00DE6205"/>
    <w:rsid w:val="00DE6A5A"/>
    <w:rsid w:val="00DF0E84"/>
    <w:rsid w:val="00DF2257"/>
    <w:rsid w:val="00DF2782"/>
    <w:rsid w:val="00DF3C05"/>
    <w:rsid w:val="00DF473D"/>
    <w:rsid w:val="00E001ED"/>
    <w:rsid w:val="00E00840"/>
    <w:rsid w:val="00E00B5A"/>
    <w:rsid w:val="00E01BF2"/>
    <w:rsid w:val="00E01F1C"/>
    <w:rsid w:val="00E01FE3"/>
    <w:rsid w:val="00E02A2A"/>
    <w:rsid w:val="00E02DFD"/>
    <w:rsid w:val="00E03A2C"/>
    <w:rsid w:val="00E05560"/>
    <w:rsid w:val="00E061EF"/>
    <w:rsid w:val="00E06EFF"/>
    <w:rsid w:val="00E07035"/>
    <w:rsid w:val="00E104E0"/>
    <w:rsid w:val="00E1196D"/>
    <w:rsid w:val="00E11D57"/>
    <w:rsid w:val="00E1293D"/>
    <w:rsid w:val="00E1308D"/>
    <w:rsid w:val="00E135A1"/>
    <w:rsid w:val="00E1471E"/>
    <w:rsid w:val="00E14EE9"/>
    <w:rsid w:val="00E16350"/>
    <w:rsid w:val="00E173C9"/>
    <w:rsid w:val="00E17D5A"/>
    <w:rsid w:val="00E224AB"/>
    <w:rsid w:val="00E22B2D"/>
    <w:rsid w:val="00E25162"/>
    <w:rsid w:val="00E2522F"/>
    <w:rsid w:val="00E2581C"/>
    <w:rsid w:val="00E26D36"/>
    <w:rsid w:val="00E30ECD"/>
    <w:rsid w:val="00E312AD"/>
    <w:rsid w:val="00E33282"/>
    <w:rsid w:val="00E34E75"/>
    <w:rsid w:val="00E3511A"/>
    <w:rsid w:val="00E372A3"/>
    <w:rsid w:val="00E40BD0"/>
    <w:rsid w:val="00E4157E"/>
    <w:rsid w:val="00E41700"/>
    <w:rsid w:val="00E41EF8"/>
    <w:rsid w:val="00E42810"/>
    <w:rsid w:val="00E43060"/>
    <w:rsid w:val="00E43E42"/>
    <w:rsid w:val="00E4457C"/>
    <w:rsid w:val="00E44954"/>
    <w:rsid w:val="00E470E1"/>
    <w:rsid w:val="00E52084"/>
    <w:rsid w:val="00E529C1"/>
    <w:rsid w:val="00E547EE"/>
    <w:rsid w:val="00E55668"/>
    <w:rsid w:val="00E56017"/>
    <w:rsid w:val="00E60D57"/>
    <w:rsid w:val="00E61D2B"/>
    <w:rsid w:val="00E6311A"/>
    <w:rsid w:val="00E6378E"/>
    <w:rsid w:val="00E66AE6"/>
    <w:rsid w:val="00E66DAD"/>
    <w:rsid w:val="00E672B8"/>
    <w:rsid w:val="00E70910"/>
    <w:rsid w:val="00E71056"/>
    <w:rsid w:val="00E75314"/>
    <w:rsid w:val="00E75B9E"/>
    <w:rsid w:val="00E80264"/>
    <w:rsid w:val="00E80EC6"/>
    <w:rsid w:val="00E82239"/>
    <w:rsid w:val="00E861AF"/>
    <w:rsid w:val="00E8639C"/>
    <w:rsid w:val="00E90D05"/>
    <w:rsid w:val="00E91040"/>
    <w:rsid w:val="00E91E3C"/>
    <w:rsid w:val="00E93634"/>
    <w:rsid w:val="00E96620"/>
    <w:rsid w:val="00E968A6"/>
    <w:rsid w:val="00E96C59"/>
    <w:rsid w:val="00EA3F4A"/>
    <w:rsid w:val="00EA5B56"/>
    <w:rsid w:val="00EA5BE6"/>
    <w:rsid w:val="00EA6B5F"/>
    <w:rsid w:val="00EB2B7D"/>
    <w:rsid w:val="00EB3757"/>
    <w:rsid w:val="00EB4052"/>
    <w:rsid w:val="00EC112E"/>
    <w:rsid w:val="00EC15BF"/>
    <w:rsid w:val="00EC3C2F"/>
    <w:rsid w:val="00EC57AA"/>
    <w:rsid w:val="00EC612D"/>
    <w:rsid w:val="00EC6A8B"/>
    <w:rsid w:val="00ED0580"/>
    <w:rsid w:val="00ED2EFA"/>
    <w:rsid w:val="00ED46E2"/>
    <w:rsid w:val="00ED6E91"/>
    <w:rsid w:val="00EE1E7A"/>
    <w:rsid w:val="00EE3A1F"/>
    <w:rsid w:val="00EE409C"/>
    <w:rsid w:val="00EE4BFB"/>
    <w:rsid w:val="00EE5B7D"/>
    <w:rsid w:val="00EF2895"/>
    <w:rsid w:val="00EF7AD8"/>
    <w:rsid w:val="00F0158E"/>
    <w:rsid w:val="00F040DC"/>
    <w:rsid w:val="00F050A6"/>
    <w:rsid w:val="00F064A7"/>
    <w:rsid w:val="00F07596"/>
    <w:rsid w:val="00F076FB"/>
    <w:rsid w:val="00F10CBD"/>
    <w:rsid w:val="00F1212D"/>
    <w:rsid w:val="00F12EC2"/>
    <w:rsid w:val="00F13F14"/>
    <w:rsid w:val="00F152DB"/>
    <w:rsid w:val="00F17026"/>
    <w:rsid w:val="00F20C51"/>
    <w:rsid w:val="00F20E85"/>
    <w:rsid w:val="00F224B1"/>
    <w:rsid w:val="00F23E3C"/>
    <w:rsid w:val="00F261CD"/>
    <w:rsid w:val="00F26212"/>
    <w:rsid w:val="00F31290"/>
    <w:rsid w:val="00F31D68"/>
    <w:rsid w:val="00F34B25"/>
    <w:rsid w:val="00F35019"/>
    <w:rsid w:val="00F364E3"/>
    <w:rsid w:val="00F37AA6"/>
    <w:rsid w:val="00F40C58"/>
    <w:rsid w:val="00F420B8"/>
    <w:rsid w:val="00F436A5"/>
    <w:rsid w:val="00F50AFF"/>
    <w:rsid w:val="00F50F93"/>
    <w:rsid w:val="00F51F27"/>
    <w:rsid w:val="00F52FCE"/>
    <w:rsid w:val="00F563D0"/>
    <w:rsid w:val="00F567F4"/>
    <w:rsid w:val="00F56AA6"/>
    <w:rsid w:val="00F60B64"/>
    <w:rsid w:val="00F619AE"/>
    <w:rsid w:val="00F63234"/>
    <w:rsid w:val="00F650C9"/>
    <w:rsid w:val="00F651EC"/>
    <w:rsid w:val="00F65F4C"/>
    <w:rsid w:val="00F67364"/>
    <w:rsid w:val="00F675AA"/>
    <w:rsid w:val="00F70EB0"/>
    <w:rsid w:val="00F7123A"/>
    <w:rsid w:val="00F74F0F"/>
    <w:rsid w:val="00F75CDF"/>
    <w:rsid w:val="00F771DC"/>
    <w:rsid w:val="00F8234D"/>
    <w:rsid w:val="00F8286D"/>
    <w:rsid w:val="00F82D4E"/>
    <w:rsid w:val="00F84811"/>
    <w:rsid w:val="00F8575F"/>
    <w:rsid w:val="00F86E64"/>
    <w:rsid w:val="00F91676"/>
    <w:rsid w:val="00F92431"/>
    <w:rsid w:val="00F92FE4"/>
    <w:rsid w:val="00FA1612"/>
    <w:rsid w:val="00FA242C"/>
    <w:rsid w:val="00FA28D7"/>
    <w:rsid w:val="00FA4710"/>
    <w:rsid w:val="00FB0149"/>
    <w:rsid w:val="00FB109E"/>
    <w:rsid w:val="00FB4B07"/>
    <w:rsid w:val="00FC130B"/>
    <w:rsid w:val="00FC1979"/>
    <w:rsid w:val="00FC2FF8"/>
    <w:rsid w:val="00FC3305"/>
    <w:rsid w:val="00FC3B3B"/>
    <w:rsid w:val="00FC4702"/>
    <w:rsid w:val="00FC731E"/>
    <w:rsid w:val="00FC7476"/>
    <w:rsid w:val="00FC7EBA"/>
    <w:rsid w:val="00FD269C"/>
    <w:rsid w:val="00FD4262"/>
    <w:rsid w:val="00FD523E"/>
    <w:rsid w:val="00FD5F9C"/>
    <w:rsid w:val="00FE0632"/>
    <w:rsid w:val="00FE2207"/>
    <w:rsid w:val="00FE2348"/>
    <w:rsid w:val="00FE2B6C"/>
    <w:rsid w:val="00FE5CA2"/>
    <w:rsid w:val="00FE6B75"/>
    <w:rsid w:val="00FF02E8"/>
    <w:rsid w:val="00FF7D68"/>
    <w:rsid w:val="0130C5DE"/>
    <w:rsid w:val="01C84B50"/>
    <w:rsid w:val="0236E3E0"/>
    <w:rsid w:val="033792C1"/>
    <w:rsid w:val="03FD44A6"/>
    <w:rsid w:val="0437AF10"/>
    <w:rsid w:val="048F63EF"/>
    <w:rsid w:val="04ACC416"/>
    <w:rsid w:val="05608794"/>
    <w:rsid w:val="05660CD9"/>
    <w:rsid w:val="060042B6"/>
    <w:rsid w:val="067CD202"/>
    <w:rsid w:val="074A379F"/>
    <w:rsid w:val="0779DE60"/>
    <w:rsid w:val="07BBBCCC"/>
    <w:rsid w:val="0B15540F"/>
    <w:rsid w:val="0B8636D1"/>
    <w:rsid w:val="0BE0F279"/>
    <w:rsid w:val="0D29567B"/>
    <w:rsid w:val="0D87A789"/>
    <w:rsid w:val="0DA40591"/>
    <w:rsid w:val="0E1FE646"/>
    <w:rsid w:val="0E4DA9F5"/>
    <w:rsid w:val="0E6720D1"/>
    <w:rsid w:val="0E971CA1"/>
    <w:rsid w:val="0F852E9B"/>
    <w:rsid w:val="0FBD22BB"/>
    <w:rsid w:val="1039F3C0"/>
    <w:rsid w:val="1223CC7A"/>
    <w:rsid w:val="1234318B"/>
    <w:rsid w:val="12A5632A"/>
    <w:rsid w:val="12F83A1D"/>
    <w:rsid w:val="1337D8CC"/>
    <w:rsid w:val="138CCA2B"/>
    <w:rsid w:val="13EE7821"/>
    <w:rsid w:val="14D0E2C6"/>
    <w:rsid w:val="14E142C1"/>
    <w:rsid w:val="16E07FAB"/>
    <w:rsid w:val="170FD85D"/>
    <w:rsid w:val="181DE137"/>
    <w:rsid w:val="18A583D2"/>
    <w:rsid w:val="18ACFEBA"/>
    <w:rsid w:val="19AEE60A"/>
    <w:rsid w:val="1A1020BA"/>
    <w:rsid w:val="1AADAEE8"/>
    <w:rsid w:val="1BC517DE"/>
    <w:rsid w:val="1C1A91A7"/>
    <w:rsid w:val="1C21FCCA"/>
    <w:rsid w:val="1C6CA452"/>
    <w:rsid w:val="1CE78A73"/>
    <w:rsid w:val="1DB7E4A5"/>
    <w:rsid w:val="1EC0A80B"/>
    <w:rsid w:val="1EC6FEC8"/>
    <w:rsid w:val="1ECF7EB5"/>
    <w:rsid w:val="1EDAFAA9"/>
    <w:rsid w:val="1FB00AE7"/>
    <w:rsid w:val="20791DFB"/>
    <w:rsid w:val="20C51FA0"/>
    <w:rsid w:val="20FB20A1"/>
    <w:rsid w:val="215164BE"/>
    <w:rsid w:val="22206E3B"/>
    <w:rsid w:val="2243E582"/>
    <w:rsid w:val="227DB7F9"/>
    <w:rsid w:val="22E215CA"/>
    <w:rsid w:val="235323B9"/>
    <w:rsid w:val="237A9888"/>
    <w:rsid w:val="23A0BC5E"/>
    <w:rsid w:val="23AED604"/>
    <w:rsid w:val="251CE597"/>
    <w:rsid w:val="2528412C"/>
    <w:rsid w:val="2544C40F"/>
    <w:rsid w:val="255D3131"/>
    <w:rsid w:val="2578E7D4"/>
    <w:rsid w:val="2637D612"/>
    <w:rsid w:val="26F24E1F"/>
    <w:rsid w:val="26F5BD7B"/>
    <w:rsid w:val="2726348C"/>
    <w:rsid w:val="2745CDFD"/>
    <w:rsid w:val="27CF40E4"/>
    <w:rsid w:val="286BEDB8"/>
    <w:rsid w:val="29193E86"/>
    <w:rsid w:val="292A3727"/>
    <w:rsid w:val="29A99995"/>
    <w:rsid w:val="29DDAFE1"/>
    <w:rsid w:val="29E062C7"/>
    <w:rsid w:val="2A0B7FC4"/>
    <w:rsid w:val="2A5662E4"/>
    <w:rsid w:val="2B55C5F4"/>
    <w:rsid w:val="2C23BFEC"/>
    <w:rsid w:val="2C896ACA"/>
    <w:rsid w:val="2D2F5F1A"/>
    <w:rsid w:val="2D3F7A68"/>
    <w:rsid w:val="2D94A5A6"/>
    <w:rsid w:val="2D96817F"/>
    <w:rsid w:val="2DA76E94"/>
    <w:rsid w:val="2DE8676E"/>
    <w:rsid w:val="2E0EFB33"/>
    <w:rsid w:val="2E38D4D2"/>
    <w:rsid w:val="2E59E6AA"/>
    <w:rsid w:val="2E680CA0"/>
    <w:rsid w:val="2E6C56FE"/>
    <w:rsid w:val="2F75DEB0"/>
    <w:rsid w:val="2F8E3723"/>
    <w:rsid w:val="2F91E691"/>
    <w:rsid w:val="30649394"/>
    <w:rsid w:val="3156DDA5"/>
    <w:rsid w:val="31E6D579"/>
    <w:rsid w:val="3236FB65"/>
    <w:rsid w:val="3277D24F"/>
    <w:rsid w:val="327B72CF"/>
    <w:rsid w:val="32BDEE41"/>
    <w:rsid w:val="32D5FD89"/>
    <w:rsid w:val="3423CB5A"/>
    <w:rsid w:val="35F5B334"/>
    <w:rsid w:val="368BCDAC"/>
    <w:rsid w:val="36DCD61B"/>
    <w:rsid w:val="3725D659"/>
    <w:rsid w:val="37C8AB0D"/>
    <w:rsid w:val="3811EE6D"/>
    <w:rsid w:val="38882CDC"/>
    <w:rsid w:val="38A3327F"/>
    <w:rsid w:val="39D54F6E"/>
    <w:rsid w:val="39E0A114"/>
    <w:rsid w:val="3A569E21"/>
    <w:rsid w:val="3ADDB79F"/>
    <w:rsid w:val="3AE15192"/>
    <w:rsid w:val="3B66E6B3"/>
    <w:rsid w:val="3B75DF65"/>
    <w:rsid w:val="3C0FFA29"/>
    <w:rsid w:val="3C849C5F"/>
    <w:rsid w:val="3DB3EFCB"/>
    <w:rsid w:val="3DD7A385"/>
    <w:rsid w:val="3F021DAC"/>
    <w:rsid w:val="3F106ABD"/>
    <w:rsid w:val="3F39F47D"/>
    <w:rsid w:val="3F7A9654"/>
    <w:rsid w:val="3F8E2C1E"/>
    <w:rsid w:val="43CD269E"/>
    <w:rsid w:val="4413326A"/>
    <w:rsid w:val="442F7C97"/>
    <w:rsid w:val="448F5A76"/>
    <w:rsid w:val="4492C812"/>
    <w:rsid w:val="44B05834"/>
    <w:rsid w:val="44F3A05B"/>
    <w:rsid w:val="4504A423"/>
    <w:rsid w:val="456F2FE2"/>
    <w:rsid w:val="45BB1038"/>
    <w:rsid w:val="46B34AE9"/>
    <w:rsid w:val="46F235B9"/>
    <w:rsid w:val="47283E01"/>
    <w:rsid w:val="47897032"/>
    <w:rsid w:val="488D09FE"/>
    <w:rsid w:val="48C917C7"/>
    <w:rsid w:val="495B714C"/>
    <w:rsid w:val="498C9B61"/>
    <w:rsid w:val="4A306AC7"/>
    <w:rsid w:val="4BA2A3D3"/>
    <w:rsid w:val="4BC24AC3"/>
    <w:rsid w:val="4C2C37BB"/>
    <w:rsid w:val="4C72F1C0"/>
    <w:rsid w:val="4D78EFD4"/>
    <w:rsid w:val="4D84F365"/>
    <w:rsid w:val="4DA10359"/>
    <w:rsid w:val="4E319754"/>
    <w:rsid w:val="4E7CE462"/>
    <w:rsid w:val="4EAC8302"/>
    <w:rsid w:val="4F2CA83F"/>
    <w:rsid w:val="4F6BAEE6"/>
    <w:rsid w:val="4FDF8952"/>
    <w:rsid w:val="4FEB8CDA"/>
    <w:rsid w:val="50799893"/>
    <w:rsid w:val="50CAB8BE"/>
    <w:rsid w:val="515E3A8B"/>
    <w:rsid w:val="5190B4C3"/>
    <w:rsid w:val="51FB72C6"/>
    <w:rsid w:val="5204FB8E"/>
    <w:rsid w:val="520AADC6"/>
    <w:rsid w:val="52AA2108"/>
    <w:rsid w:val="545B9A86"/>
    <w:rsid w:val="548D8254"/>
    <w:rsid w:val="54A6C5F7"/>
    <w:rsid w:val="54C72CF6"/>
    <w:rsid w:val="55094B26"/>
    <w:rsid w:val="551BBD1C"/>
    <w:rsid w:val="5533C256"/>
    <w:rsid w:val="555984E1"/>
    <w:rsid w:val="55B5504B"/>
    <w:rsid w:val="55BA8F8E"/>
    <w:rsid w:val="55D1019F"/>
    <w:rsid w:val="55EA7F17"/>
    <w:rsid w:val="564A6F29"/>
    <w:rsid w:val="56542D23"/>
    <w:rsid w:val="582FD14E"/>
    <w:rsid w:val="583B5738"/>
    <w:rsid w:val="587D4BE1"/>
    <w:rsid w:val="58E0BE19"/>
    <w:rsid w:val="598A2128"/>
    <w:rsid w:val="59F8E419"/>
    <w:rsid w:val="5A05A38A"/>
    <w:rsid w:val="5A4C931F"/>
    <w:rsid w:val="5B441698"/>
    <w:rsid w:val="5B69CD6D"/>
    <w:rsid w:val="5C0FE42C"/>
    <w:rsid w:val="5C5AF220"/>
    <w:rsid w:val="5D2F803B"/>
    <w:rsid w:val="5D62878D"/>
    <w:rsid w:val="5E8A6A1D"/>
    <w:rsid w:val="5EF87F69"/>
    <w:rsid w:val="5FAEC431"/>
    <w:rsid w:val="60030E4C"/>
    <w:rsid w:val="6093470D"/>
    <w:rsid w:val="60C41714"/>
    <w:rsid w:val="610823FF"/>
    <w:rsid w:val="6241370D"/>
    <w:rsid w:val="624A4034"/>
    <w:rsid w:val="6250D704"/>
    <w:rsid w:val="6271A256"/>
    <w:rsid w:val="6274F51C"/>
    <w:rsid w:val="629735DF"/>
    <w:rsid w:val="62AB291F"/>
    <w:rsid w:val="62CA9FFA"/>
    <w:rsid w:val="6349D6D0"/>
    <w:rsid w:val="6406B5BD"/>
    <w:rsid w:val="64347FA1"/>
    <w:rsid w:val="644A9052"/>
    <w:rsid w:val="64771AB1"/>
    <w:rsid w:val="64AB2792"/>
    <w:rsid w:val="653DDB87"/>
    <w:rsid w:val="65733290"/>
    <w:rsid w:val="65980211"/>
    <w:rsid w:val="65B78974"/>
    <w:rsid w:val="65E39D27"/>
    <w:rsid w:val="671637C9"/>
    <w:rsid w:val="682D5CF0"/>
    <w:rsid w:val="68C81FB0"/>
    <w:rsid w:val="6972B6A5"/>
    <w:rsid w:val="69C91AB2"/>
    <w:rsid w:val="6AC41CF4"/>
    <w:rsid w:val="6B1D3B99"/>
    <w:rsid w:val="6B1F4DE0"/>
    <w:rsid w:val="6B42B2F8"/>
    <w:rsid w:val="6BACD0B0"/>
    <w:rsid w:val="6C1FBBE9"/>
    <w:rsid w:val="6C4C5E3A"/>
    <w:rsid w:val="6C4F704F"/>
    <w:rsid w:val="6CCD812C"/>
    <w:rsid w:val="6CDFE37D"/>
    <w:rsid w:val="6D5F4AB6"/>
    <w:rsid w:val="6D616C0B"/>
    <w:rsid w:val="6E67B33D"/>
    <w:rsid w:val="6EF159C9"/>
    <w:rsid w:val="7005705F"/>
    <w:rsid w:val="70D8A1B3"/>
    <w:rsid w:val="70DD37EC"/>
    <w:rsid w:val="70F6C8D3"/>
    <w:rsid w:val="7119B080"/>
    <w:rsid w:val="71BB3A5C"/>
    <w:rsid w:val="71CBF40D"/>
    <w:rsid w:val="71F8F296"/>
    <w:rsid w:val="720CA4C8"/>
    <w:rsid w:val="723A7DE5"/>
    <w:rsid w:val="72AA1197"/>
    <w:rsid w:val="72F1C038"/>
    <w:rsid w:val="7316D537"/>
    <w:rsid w:val="73CC2438"/>
    <w:rsid w:val="73FBACC5"/>
    <w:rsid w:val="748DC794"/>
    <w:rsid w:val="749A3A91"/>
    <w:rsid w:val="74A1601D"/>
    <w:rsid w:val="74B4E029"/>
    <w:rsid w:val="74FE9E92"/>
    <w:rsid w:val="751AE2D7"/>
    <w:rsid w:val="75B8E3B2"/>
    <w:rsid w:val="75CF2BA9"/>
    <w:rsid w:val="75F08415"/>
    <w:rsid w:val="763053E1"/>
    <w:rsid w:val="76EBF47E"/>
    <w:rsid w:val="7772A23F"/>
    <w:rsid w:val="781EBC49"/>
    <w:rsid w:val="783A7ECC"/>
    <w:rsid w:val="7861AA18"/>
    <w:rsid w:val="78893F8C"/>
    <w:rsid w:val="788F9CE6"/>
    <w:rsid w:val="7896F699"/>
    <w:rsid w:val="78D2A963"/>
    <w:rsid w:val="79F2DFA5"/>
    <w:rsid w:val="7A45F6E8"/>
    <w:rsid w:val="7A5DF82E"/>
    <w:rsid w:val="7AEFF7F3"/>
    <w:rsid w:val="7B80C634"/>
    <w:rsid w:val="7B929C07"/>
    <w:rsid w:val="7C66DDDE"/>
    <w:rsid w:val="7CE4CC77"/>
    <w:rsid w:val="7D8F7CB2"/>
    <w:rsid w:val="7DC531CA"/>
    <w:rsid w:val="7E36FF16"/>
    <w:rsid w:val="7E46FCF5"/>
    <w:rsid w:val="7E4E2005"/>
    <w:rsid w:val="7EAC0F20"/>
    <w:rsid w:val="7EFCAC86"/>
    <w:rsid w:val="7FBB5A2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D745FB"/>
  <w15:chartTrackingRefBased/>
  <w15:docId w15:val="{78BBD466-B86C-43E0-8FB6-465AD17E2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0B037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ext">
    <w:name w:val="CoverText"/>
    <w:basedOn w:val="Normal"/>
    <w:pPr>
      <w:jc w:val="right"/>
    </w:pPr>
    <w:rPr>
      <w:szCs w:val="20"/>
      <w:u w:val="single"/>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styleId="Header">
    <w:name w:val="header"/>
    <w:basedOn w:val="Normal"/>
    <w:pPr>
      <w:tabs>
        <w:tab w:val="center" w:pos="4153"/>
        <w:tab w:val="right" w:pos="8306"/>
      </w:tabs>
    </w:pPr>
    <w:rPr>
      <w:rFonts w:ascii="Univers (W1)" w:hAnsi="Univers (W1)"/>
      <w:szCs w:val="20"/>
    </w:rPr>
  </w:style>
  <w:style w:type="paragraph" w:styleId="Footer">
    <w:name w:val="footer"/>
    <w:basedOn w:val="Normal"/>
    <w:pPr>
      <w:tabs>
        <w:tab w:val="center" w:pos="4153"/>
        <w:tab w:val="right" w:pos="8306"/>
      </w:tabs>
    </w:pPr>
    <w:rPr>
      <w:rFonts w:ascii="Univers (W1)" w:hAnsi="Univers (W1)"/>
      <w:szCs w:val="20"/>
    </w:rPr>
  </w:style>
  <w:style w:type="character" w:styleId="PageNumber">
    <w:name w:val="page number"/>
    <w:rPr>
      <w:sz w:val="20"/>
    </w:rPr>
  </w:style>
  <w:style w:type="paragraph" w:customStyle="1" w:styleId="CoverDesc">
    <w:name w:val="CoverDesc"/>
    <w:basedOn w:val="Normal"/>
    <w:pPr>
      <w:jc w:val="center"/>
    </w:pPr>
    <w:rPr>
      <w:b/>
      <w:sz w:val="36"/>
      <w:szCs w:val="20"/>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2"/>
      </w:num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Heading1"/>
    <w:pPr>
      <w:spacing w:before="240" w:after="240"/>
      <w:jc w:val="both"/>
    </w:pPr>
    <w:rPr>
      <w:szCs w:val="20"/>
    </w:rPr>
  </w:style>
  <w:style w:type="paragraph" w:styleId="Quote">
    <w:name w:val="Quote"/>
    <w:basedOn w:val="Normal"/>
    <w:next w:val="ParaLevel1"/>
    <w:link w:val="QuoteChar"/>
    <w:qFormat/>
    <w:pPr>
      <w:spacing w:after="240"/>
      <w:ind w:left="1440" w:right="1440"/>
      <w:jc w:val="both"/>
    </w:pPr>
    <w:rPr>
      <w:szCs w:val="20"/>
    </w:rPr>
  </w:style>
  <w:style w:type="paragraph" w:styleId="Title">
    <w:name w:val="Title"/>
    <w:basedOn w:val="Normal"/>
    <w:qFormat/>
    <w:pPr>
      <w:pBdr>
        <w:top w:val="single" w:sz="6" w:space="1" w:color="auto"/>
        <w:left w:val="single" w:sz="6" w:space="1" w:color="auto"/>
        <w:bottom w:val="single" w:sz="6" w:space="1" w:color="auto"/>
        <w:right w:val="single" w:sz="6" w:space="1" w:color="auto"/>
      </w:pBdr>
      <w:jc w:val="center"/>
    </w:pPr>
    <w:rPr>
      <w:b/>
      <w:sz w:val="20"/>
    </w:rPr>
  </w:style>
  <w:style w:type="paragraph" w:customStyle="1" w:styleId="eMailBlock">
    <w:name w:val="eMailBlock"/>
    <w:basedOn w:val="Title"/>
    <w:rPr>
      <w:sz w:val="26"/>
    </w:rPr>
  </w:style>
  <w:style w:type="character" w:styleId="Hyperlink">
    <w:name w:val="Hyperlink"/>
    <w:uiPriority w:val="99"/>
    <w:unhideWhenUsed/>
    <w:rsid w:val="00BF14C3"/>
    <w:rPr>
      <w:color w:val="0000FF"/>
      <w:u w:val="single"/>
    </w:rPr>
  </w:style>
  <w:style w:type="paragraph" w:styleId="ListParagraph">
    <w:name w:val="List Paragraph"/>
    <w:basedOn w:val="Normal"/>
    <w:link w:val="ListParagraphChar"/>
    <w:uiPriority w:val="34"/>
    <w:qFormat/>
    <w:rsid w:val="00A0730D"/>
    <w:pPr>
      <w:spacing w:after="120" w:line="360" w:lineRule="auto"/>
      <w:ind w:left="720"/>
      <w:contextualSpacing/>
    </w:pPr>
    <w:rPr>
      <w:rFonts w:ascii="Calibri" w:hAnsi="Calibri"/>
      <w:sz w:val="22"/>
      <w:szCs w:val="20"/>
    </w:rPr>
  </w:style>
  <w:style w:type="character" w:customStyle="1" w:styleId="QuoteChar">
    <w:name w:val="Quote Char"/>
    <w:link w:val="Quote"/>
    <w:rsid w:val="00AF6FD2"/>
    <w:rPr>
      <w:sz w:val="24"/>
      <w:lang w:eastAsia="en-US"/>
    </w:rPr>
  </w:style>
  <w:style w:type="paragraph" w:styleId="Revision">
    <w:name w:val="Revision"/>
    <w:hidden/>
    <w:uiPriority w:val="99"/>
    <w:semiHidden/>
    <w:rsid w:val="00084FBD"/>
    <w:rPr>
      <w:sz w:val="24"/>
      <w:szCs w:val="24"/>
      <w:lang w:eastAsia="en-US"/>
    </w:rPr>
  </w:style>
  <w:style w:type="character" w:styleId="CommentReference">
    <w:name w:val="annotation reference"/>
    <w:basedOn w:val="DefaultParagraphFont"/>
    <w:rsid w:val="00D91638"/>
    <w:rPr>
      <w:sz w:val="16"/>
      <w:szCs w:val="16"/>
    </w:rPr>
  </w:style>
  <w:style w:type="paragraph" w:styleId="CommentText">
    <w:name w:val="annotation text"/>
    <w:basedOn w:val="Normal"/>
    <w:link w:val="CommentTextChar"/>
    <w:rsid w:val="00D91638"/>
    <w:rPr>
      <w:sz w:val="20"/>
      <w:szCs w:val="20"/>
    </w:rPr>
  </w:style>
  <w:style w:type="character" w:customStyle="1" w:styleId="CommentTextChar">
    <w:name w:val="Comment Text Char"/>
    <w:basedOn w:val="DefaultParagraphFont"/>
    <w:link w:val="CommentText"/>
    <w:rsid w:val="00D91638"/>
    <w:rPr>
      <w:lang w:eastAsia="en-US"/>
    </w:rPr>
  </w:style>
  <w:style w:type="paragraph" w:styleId="CommentSubject">
    <w:name w:val="annotation subject"/>
    <w:basedOn w:val="CommentText"/>
    <w:next w:val="CommentText"/>
    <w:link w:val="CommentSubjectChar"/>
    <w:rsid w:val="00D91638"/>
    <w:rPr>
      <w:b/>
      <w:bCs/>
    </w:rPr>
  </w:style>
  <w:style w:type="character" w:customStyle="1" w:styleId="CommentSubjectChar">
    <w:name w:val="Comment Subject Char"/>
    <w:basedOn w:val="CommentTextChar"/>
    <w:link w:val="CommentSubject"/>
    <w:rsid w:val="00D91638"/>
    <w:rPr>
      <w:b/>
      <w:bCs/>
      <w:lang w:eastAsia="en-US"/>
    </w:rPr>
  </w:style>
  <w:style w:type="character" w:styleId="UnresolvedMention">
    <w:name w:val="Unresolved Mention"/>
    <w:basedOn w:val="DefaultParagraphFont"/>
    <w:uiPriority w:val="99"/>
    <w:semiHidden/>
    <w:unhideWhenUsed/>
    <w:rsid w:val="00D15C6B"/>
    <w:rPr>
      <w:color w:val="605E5C"/>
      <w:shd w:val="clear" w:color="auto" w:fill="E1DFDD"/>
    </w:rPr>
  </w:style>
  <w:style w:type="character" w:customStyle="1" w:styleId="Heading2Char">
    <w:name w:val="Heading 2 Char"/>
    <w:basedOn w:val="DefaultParagraphFont"/>
    <w:link w:val="Heading2"/>
    <w:semiHidden/>
    <w:rsid w:val="000B037C"/>
    <w:rPr>
      <w:rFonts w:asciiTheme="majorHAnsi" w:eastAsiaTheme="majorEastAsia" w:hAnsiTheme="majorHAnsi" w:cstheme="majorBidi"/>
      <w:color w:val="2F5496" w:themeColor="accent1" w:themeShade="BF"/>
      <w:sz w:val="26"/>
      <w:szCs w:val="26"/>
      <w:lang w:eastAsia="en-US"/>
    </w:rPr>
  </w:style>
  <w:style w:type="paragraph" w:customStyle="1" w:styleId="Indent1">
    <w:name w:val="Indent 1"/>
    <w:basedOn w:val="ListParagraph"/>
    <w:link w:val="Indent1Char"/>
    <w:qFormat/>
    <w:rsid w:val="000B037C"/>
    <w:pPr>
      <w:spacing w:after="240"/>
      <w:ind w:left="567" w:hanging="567"/>
      <w:contextualSpacing w:val="0"/>
      <w:jc w:val="both"/>
    </w:pPr>
    <w:rPr>
      <w:rFonts w:cs="Calibri"/>
      <w:szCs w:val="22"/>
    </w:rPr>
  </w:style>
  <w:style w:type="character" w:customStyle="1" w:styleId="ListParagraphChar">
    <w:name w:val="List Paragraph Char"/>
    <w:basedOn w:val="DefaultParagraphFont"/>
    <w:link w:val="ListParagraph"/>
    <w:uiPriority w:val="34"/>
    <w:rsid w:val="000B037C"/>
    <w:rPr>
      <w:rFonts w:ascii="Calibri" w:hAnsi="Calibri"/>
      <w:sz w:val="22"/>
      <w:lang w:eastAsia="en-US"/>
    </w:rPr>
  </w:style>
  <w:style w:type="character" w:customStyle="1" w:styleId="Indent1Char">
    <w:name w:val="Indent 1 Char"/>
    <w:basedOn w:val="ListParagraphChar"/>
    <w:link w:val="Indent1"/>
    <w:rsid w:val="000B037C"/>
    <w:rPr>
      <w:rFonts w:ascii="Calibri" w:hAnsi="Calibri" w:cs="Calibri"/>
      <w:sz w:val="22"/>
      <w:szCs w:val="22"/>
      <w:lang w:eastAsia="en-US"/>
    </w:rPr>
  </w:style>
  <w:style w:type="paragraph" w:customStyle="1" w:styleId="JudgementQoute">
    <w:name w:val="Judgement Qoute"/>
    <w:basedOn w:val="Indent1"/>
    <w:link w:val="JudgementQouteChar"/>
    <w:qFormat/>
    <w:rsid w:val="000B037C"/>
    <w:pPr>
      <w:spacing w:line="276" w:lineRule="auto"/>
      <w:ind w:left="1213" w:right="851" w:firstLine="0"/>
    </w:pPr>
    <w:rPr>
      <w:bCs/>
      <w:i/>
      <w:iCs/>
    </w:rPr>
  </w:style>
  <w:style w:type="character" w:customStyle="1" w:styleId="JudgementQouteChar">
    <w:name w:val="Judgement Qoute Char"/>
    <w:basedOn w:val="Indent1Char"/>
    <w:link w:val="JudgementQoute"/>
    <w:rsid w:val="000B037C"/>
    <w:rPr>
      <w:rFonts w:ascii="Calibri" w:hAnsi="Calibri" w:cs="Calibri"/>
      <w:bCs/>
      <w:i/>
      <w:iCs/>
      <w:sz w:val="22"/>
      <w:szCs w:val="22"/>
      <w:lang w:eastAsia="en-US"/>
    </w:rPr>
  </w:style>
  <w:style w:type="character" w:customStyle="1" w:styleId="Heading1Char">
    <w:name w:val="Heading 1 Char"/>
    <w:basedOn w:val="DefaultParagraphFont"/>
    <w:link w:val="Heading1"/>
    <w:rsid w:val="007343B0"/>
    <w:rPr>
      <w:rFonts w:ascii="Arial" w:hAnsi="Arial" w:cs="Arial"/>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cw11y\OneDrive%20-%20Ministry%20of%20Justice\JudgmentTemplate\Templates\ca_judg2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F6CFA-3043-4355-8CAC-CD4AB17CD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ca_judg2k</Template>
  <TotalTime>0</TotalTime>
  <Pages>4</Pages>
  <Words>7957</Words>
  <Characters>45357</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Court of Appeal Judgment Template</vt:lpstr>
    </vt:vector>
  </TitlesOfParts>
  <Company>RCJ - In House Applications</Company>
  <LinksUpToDate>false</LinksUpToDate>
  <CharactersWithSpaces>53208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of Appeal Judgment Template</dc:title>
  <dc:subject/>
  <dc:creator>James, David</dc:creator>
  <cp:keywords/>
  <dc:description/>
  <cp:lastModifiedBy>pati-svc</cp:lastModifiedBy>
  <cp:revision>2</cp:revision>
  <cp:lastPrinted>2026-01-13T13:32:00Z</cp:lastPrinted>
  <dcterms:created xsi:type="dcterms:W3CDTF">2026-01-23T10:00:00Z</dcterms:created>
  <dcterms:modified xsi:type="dcterms:W3CDTF">2026-01-23T10:00:00Z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CA</vt:lpwstr>
  </property>
  <property fmtid="{D5CDD505-2E9C-101B-9397-08002B2CF9AE}" pid="4" name="Division">
    <vt:lpwstr>CIVIL</vt:lpwstr>
  </property>
  <property fmtid="{D5CDD505-2E9C-101B-9397-08002B2CF9AE}" pid="5" name="SubDivision">
    <vt:lpwstr/>
  </property>
  <property fmtid="{D5CDD505-2E9C-101B-9397-08002B2CF9AE}" pid="6" name="ApprovedStage">
    <vt:lpwstr>Draft</vt:lpwstr>
  </property>
  <property fmtid="{D5CDD505-2E9C-101B-9397-08002B2CF9AE}" pid="7" name="NCDiv">
    <vt:lpwstr>Civ</vt:lpwstr>
  </property>
  <property fmtid="{D5CDD505-2E9C-101B-9397-08002B2CF9AE}" pid="8" name="NCJudge">
    <vt:lpwstr>THE PRESIDENT OF THE FAMILY DIVISION (SIR ANDREW MACFARLANE)</vt:lpwstr>
  </property>
  <property fmtid="{D5CDD505-2E9C-101B-9397-08002B2CF9AE}" pid="9" name="NCCaseNum">
    <vt:lpwstr>CA-2024-001138</vt:lpwstr>
  </property>
  <property fmtid="{D5CDD505-2E9C-101B-9397-08002B2CF9AE}" pid="10" name="NCJudgeDate">
    <vt:lpwstr>04/12/2025</vt:lpwstr>
  </property>
  <property fmtid="{D5CDD505-2E9C-101B-9397-08002B2CF9AE}" pid="11" name="NCCaseTitle">
    <vt:lpwstr>Cameron v Southern Health NHS Foundation Trust &amp; Anr</vt:lpwstr>
  </property>
  <property fmtid="{D5CDD505-2E9C-101B-9397-08002B2CF9AE}" pid="12" name="NCNumber">
    <vt:lpwstr>[2026] EWCA Civ 20</vt:lpwstr>
  </property>
  <property fmtid="{D5CDD505-2E9C-101B-9397-08002B2CF9AE}" pid="13" name="TextOK">
    <vt:bool>true</vt:bool>
  </property>
  <property fmtid="{D5CDD505-2E9C-101B-9397-08002B2CF9AE}" pid="14" name="HeaderOK">
    <vt:bool>true</vt:bool>
  </property>
  <property fmtid="{D5CDD505-2E9C-101B-9397-08002B2CF9AE}" pid="15" name="CrestOK">
    <vt:bool>false</vt:bool>
  </property>
  <property fmtid="{D5CDD505-2E9C-101B-9397-08002B2CF9AE}" pid="16" name="FooterOK">
    <vt:bool>true</vt:bool>
  </property>
</Properties>
</file>